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D9C" w:rsidRDefault="008118C8" w:rsidP="00003D9C">
      <w:pPr>
        <w:widowControl w:val="0"/>
        <w:suppressAutoHyphens/>
        <w:spacing w:line="276" w:lineRule="auto"/>
        <w:jc w:val="both"/>
        <w:rPr>
          <w:rFonts w:ascii="Calibri" w:eastAsia="Calibri" w:hAnsi="Calibri" w:cs="Mangal"/>
          <w:b/>
          <w:color w:val="C00000"/>
          <w:kern w:val="2"/>
          <w:sz w:val="36"/>
          <w:szCs w:val="36"/>
          <w:lang w:eastAsia="en-US" w:bidi="hi-IN"/>
        </w:rPr>
      </w:pPr>
      <w:r>
        <w:rPr>
          <w:rFonts w:ascii="Calibri" w:eastAsia="Calibri" w:hAnsi="Calibri" w:cs="Mangal"/>
          <w:b/>
          <w:color w:val="C00000"/>
          <w:kern w:val="2"/>
          <w:sz w:val="36"/>
          <w:szCs w:val="36"/>
          <w:lang w:eastAsia="en-US" w:bidi="hi-IN"/>
        </w:rPr>
        <w:t xml:space="preserve">33 </w:t>
      </w:r>
      <w:bookmarkStart w:id="0" w:name="_GoBack"/>
      <w:bookmarkEnd w:id="0"/>
      <w:r w:rsidR="00003D9C">
        <w:rPr>
          <w:rFonts w:ascii="Calibri" w:eastAsia="Calibri" w:hAnsi="Calibri" w:cs="Mangal"/>
          <w:b/>
          <w:color w:val="C00000"/>
          <w:kern w:val="2"/>
          <w:sz w:val="36"/>
          <w:szCs w:val="36"/>
          <w:lang w:eastAsia="en-US" w:bidi="hi-IN"/>
        </w:rPr>
        <w:t>ARTICOLI  DELLA LETTERATURA SCIENTIFICA IN ORIGINALE</w:t>
      </w:r>
    </w:p>
    <w:p w:rsidR="00003D9C" w:rsidRDefault="00003D9C" w:rsidP="00003D9C">
      <w:pPr>
        <w:widowControl w:val="0"/>
        <w:suppressAutoHyphens/>
        <w:jc w:val="both"/>
        <w:rPr>
          <w:rFonts w:ascii="Calibri" w:eastAsia="SimSun" w:hAnsi="Calibri" w:cs="Mangal"/>
          <w:b/>
          <w:kern w:val="2"/>
          <w:szCs w:val="24"/>
          <w:lang w:eastAsia="hi-IN" w:bidi="hi-IN"/>
        </w:rPr>
      </w:pPr>
    </w:p>
    <w:p w:rsidR="00003D9C" w:rsidRDefault="00003D9C" w:rsidP="00003D9C">
      <w:pPr>
        <w:spacing w:after="200"/>
        <w:contextualSpacing/>
        <w:jc w:val="both"/>
        <w:rPr>
          <w:rFonts w:ascii="Calibri" w:eastAsia="SimSun" w:hAnsi="Calibri" w:cs="Mangal"/>
          <w:kern w:val="2"/>
          <w:szCs w:val="24"/>
          <w:lang w:val="en-US" w:eastAsia="hi-IN" w:bidi="hi-IN"/>
        </w:rPr>
      </w:pPr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 xml:space="preserve">Ackerman KE, </w:t>
      </w:r>
      <w:proofErr w:type="spellStart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>Holtzman</w:t>
      </w:r>
      <w:proofErr w:type="spellEnd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 xml:space="preserve"> B, Cooper KM, Flynn EF, </w:t>
      </w:r>
      <w:proofErr w:type="spellStart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>Bruinvels</w:t>
      </w:r>
      <w:proofErr w:type="spellEnd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 xml:space="preserve"> G, </w:t>
      </w:r>
      <w:proofErr w:type="spellStart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>Tenforde</w:t>
      </w:r>
      <w:proofErr w:type="spellEnd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 xml:space="preserve"> AS, Popp KL, </w:t>
      </w:r>
      <w:proofErr w:type="spellStart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>Simpkin</w:t>
      </w:r>
      <w:proofErr w:type="spellEnd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 xml:space="preserve"> AJ, </w:t>
      </w:r>
      <w:proofErr w:type="spellStart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>Parziale</w:t>
      </w:r>
      <w:proofErr w:type="spellEnd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 xml:space="preserve"> AL. Low energy availability surrogates correlate with health and performance consequences of Relative Energy Deficiency in Sport. Br J Sports Med 2019; 53: 628-633.</w:t>
      </w:r>
    </w:p>
    <w:p w:rsidR="00003D9C" w:rsidRDefault="00003D9C" w:rsidP="00003D9C">
      <w:pPr>
        <w:spacing w:after="200"/>
        <w:contextualSpacing/>
        <w:jc w:val="both"/>
        <w:rPr>
          <w:rFonts w:ascii="Calibri" w:eastAsia="SimSun" w:hAnsi="Calibri" w:cs="Mangal"/>
          <w:kern w:val="2"/>
          <w:szCs w:val="24"/>
          <w:lang w:val="en-US" w:eastAsia="hi-IN" w:bidi="hi-IN"/>
        </w:rPr>
      </w:pPr>
    </w:p>
    <w:p w:rsidR="00003D9C" w:rsidRDefault="00003D9C" w:rsidP="00003D9C">
      <w:pPr>
        <w:spacing w:after="200"/>
        <w:contextualSpacing/>
        <w:jc w:val="both"/>
        <w:rPr>
          <w:rFonts w:ascii="Calibri" w:eastAsia="SimSun" w:hAnsi="Calibri" w:cs="Mangal"/>
          <w:kern w:val="2"/>
          <w:szCs w:val="24"/>
          <w:lang w:val="en-US" w:eastAsia="hi-IN" w:bidi="hi-IN"/>
        </w:rPr>
      </w:pPr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 xml:space="preserve">Ackerman KE, </w:t>
      </w:r>
      <w:proofErr w:type="spellStart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>Singhal</w:t>
      </w:r>
      <w:proofErr w:type="spellEnd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 xml:space="preserve"> V, </w:t>
      </w:r>
      <w:proofErr w:type="spellStart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>Baskaran</w:t>
      </w:r>
      <w:proofErr w:type="spellEnd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 xml:space="preserve"> C, Slattery M, </w:t>
      </w:r>
      <w:proofErr w:type="spellStart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>Campoverde</w:t>
      </w:r>
      <w:proofErr w:type="spellEnd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 xml:space="preserve"> Reyes KJ, </w:t>
      </w:r>
      <w:proofErr w:type="spellStart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>Toth</w:t>
      </w:r>
      <w:proofErr w:type="spellEnd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 xml:space="preserve"> A, Eddy KT, </w:t>
      </w:r>
      <w:proofErr w:type="spellStart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>Bouxsein</w:t>
      </w:r>
      <w:proofErr w:type="spellEnd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 xml:space="preserve"> ML, Lee H, </w:t>
      </w:r>
      <w:proofErr w:type="spellStart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>Klibanski</w:t>
      </w:r>
      <w:proofErr w:type="spellEnd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 xml:space="preserve"> A, </w:t>
      </w:r>
      <w:proofErr w:type="spellStart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>Misra</w:t>
      </w:r>
      <w:proofErr w:type="spellEnd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 xml:space="preserve"> M. </w:t>
      </w:r>
      <w:proofErr w:type="spellStart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>Oestrogen</w:t>
      </w:r>
      <w:proofErr w:type="spellEnd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 xml:space="preserve"> replacement improves bone mineral density in oligo-</w:t>
      </w:r>
      <w:proofErr w:type="spellStart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>amenorrhoeic</w:t>
      </w:r>
      <w:proofErr w:type="spellEnd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 xml:space="preserve"> athletes: a randomized clinical trial. Br J Sports Med 2019; 53, 229-236. </w:t>
      </w:r>
    </w:p>
    <w:p w:rsidR="00003D9C" w:rsidRDefault="00003D9C" w:rsidP="00003D9C">
      <w:pPr>
        <w:spacing w:after="200"/>
        <w:contextualSpacing/>
        <w:jc w:val="both"/>
        <w:rPr>
          <w:rFonts w:ascii="Calibri" w:eastAsia="SimSun" w:hAnsi="Calibri" w:cs="Mangal"/>
          <w:kern w:val="2"/>
          <w:szCs w:val="24"/>
          <w:lang w:val="en-US" w:eastAsia="hi-IN" w:bidi="hi-IN"/>
        </w:rPr>
      </w:pPr>
    </w:p>
    <w:p w:rsidR="00003D9C" w:rsidRDefault="00003D9C" w:rsidP="00003D9C">
      <w:pPr>
        <w:spacing w:after="200"/>
        <w:contextualSpacing/>
        <w:jc w:val="both"/>
        <w:rPr>
          <w:rFonts w:ascii="Calibri" w:eastAsia="SimSun" w:hAnsi="Calibri" w:cs="Mangal"/>
          <w:kern w:val="2"/>
          <w:szCs w:val="24"/>
          <w:lang w:val="en-US" w:eastAsia="hi-IN" w:bidi="hi-IN"/>
        </w:rPr>
      </w:pPr>
      <w:proofErr w:type="spellStart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>Altayar</w:t>
      </w:r>
      <w:proofErr w:type="spellEnd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 xml:space="preserve"> O, Al </w:t>
      </w:r>
      <w:proofErr w:type="spellStart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>Nofal</w:t>
      </w:r>
      <w:proofErr w:type="spellEnd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 xml:space="preserve"> A, Carranza Leon BG, Prokop LJ, Wang Z, Murad MH. Treatments to prevent bone loss in functional hypothalamic amenorrhea: a systematic review and meta-analysis. J Endocrine Society 2017; 1: 500-511.</w:t>
      </w:r>
    </w:p>
    <w:p w:rsidR="00003D9C" w:rsidRDefault="00003D9C" w:rsidP="00003D9C">
      <w:pPr>
        <w:spacing w:after="200"/>
        <w:contextualSpacing/>
        <w:jc w:val="both"/>
        <w:rPr>
          <w:rFonts w:ascii="Calibri" w:eastAsia="SimSun" w:hAnsi="Calibri" w:cs="Mangal"/>
          <w:kern w:val="2"/>
          <w:szCs w:val="24"/>
          <w:lang w:val="en-US" w:eastAsia="hi-IN" w:bidi="hi-IN"/>
        </w:rPr>
      </w:pPr>
    </w:p>
    <w:p w:rsidR="00003D9C" w:rsidRDefault="00003D9C" w:rsidP="00003D9C">
      <w:pPr>
        <w:spacing w:after="200"/>
        <w:contextualSpacing/>
        <w:jc w:val="both"/>
        <w:rPr>
          <w:rFonts w:ascii="Calibri" w:eastAsia="SimSun" w:hAnsi="Calibri" w:cs="Mangal"/>
          <w:kern w:val="2"/>
          <w:szCs w:val="24"/>
          <w:lang w:val="en-US" w:eastAsia="hi-IN" w:bidi="hi-IN"/>
        </w:rPr>
      </w:pPr>
      <w:proofErr w:type="spellStart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>Bergström</w:t>
      </w:r>
      <w:proofErr w:type="spellEnd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 xml:space="preserve"> I, </w:t>
      </w:r>
      <w:proofErr w:type="spellStart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>Crisby</w:t>
      </w:r>
      <w:proofErr w:type="spellEnd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 xml:space="preserve"> M, </w:t>
      </w:r>
      <w:proofErr w:type="spellStart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>Engström</w:t>
      </w:r>
      <w:proofErr w:type="spellEnd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 xml:space="preserve"> AM, </w:t>
      </w:r>
      <w:proofErr w:type="spellStart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>Hölcke</w:t>
      </w:r>
      <w:proofErr w:type="spellEnd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 xml:space="preserve"> M, </w:t>
      </w:r>
      <w:proofErr w:type="spellStart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>Fored</w:t>
      </w:r>
      <w:proofErr w:type="spellEnd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 xml:space="preserve"> M, </w:t>
      </w:r>
      <w:proofErr w:type="spellStart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>Jakobsson</w:t>
      </w:r>
      <w:proofErr w:type="spellEnd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 xml:space="preserve"> Kruse P, Of Sandberg AM.  Women with anorexia nervosa should not be treated with estrogen or birth control pills in a bone-sparing effect. </w:t>
      </w:r>
      <w:proofErr w:type="spellStart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>Acta</w:t>
      </w:r>
      <w:proofErr w:type="spellEnd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 xml:space="preserve"> </w:t>
      </w:r>
      <w:proofErr w:type="spellStart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>Obstet</w:t>
      </w:r>
      <w:proofErr w:type="spellEnd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 xml:space="preserve"> </w:t>
      </w:r>
      <w:proofErr w:type="spellStart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>Gynecol</w:t>
      </w:r>
      <w:proofErr w:type="spellEnd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 xml:space="preserve"> </w:t>
      </w:r>
      <w:proofErr w:type="spellStart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>Scand</w:t>
      </w:r>
      <w:proofErr w:type="spellEnd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 xml:space="preserve"> 2013; 92: 877-880. </w:t>
      </w:r>
    </w:p>
    <w:p w:rsidR="00003D9C" w:rsidRDefault="00003D9C" w:rsidP="00003D9C">
      <w:pPr>
        <w:spacing w:after="200"/>
        <w:contextualSpacing/>
        <w:jc w:val="both"/>
        <w:rPr>
          <w:rFonts w:ascii="Calibri" w:eastAsia="SimSun" w:hAnsi="Calibri" w:cs="Mangal"/>
          <w:kern w:val="2"/>
          <w:szCs w:val="24"/>
          <w:lang w:val="en-US" w:eastAsia="hi-IN" w:bidi="hi-IN"/>
        </w:rPr>
      </w:pPr>
    </w:p>
    <w:p w:rsidR="00003D9C" w:rsidRDefault="00003D9C" w:rsidP="00003D9C">
      <w:pPr>
        <w:spacing w:after="200"/>
        <w:contextualSpacing/>
        <w:jc w:val="both"/>
        <w:rPr>
          <w:rFonts w:ascii="Calibri" w:eastAsia="SimSun" w:hAnsi="Calibri" w:cs="Mangal"/>
          <w:kern w:val="2"/>
          <w:szCs w:val="24"/>
          <w:lang w:val="en-US" w:eastAsia="hi-IN" w:bidi="hi-IN"/>
        </w:rPr>
      </w:pPr>
      <w:proofErr w:type="spellStart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>Bonci</w:t>
      </w:r>
      <w:proofErr w:type="spellEnd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 xml:space="preserve"> CM, </w:t>
      </w:r>
      <w:proofErr w:type="spellStart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>Bonci</w:t>
      </w:r>
      <w:proofErr w:type="spellEnd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 xml:space="preserve"> LJ, Granger LR, Johnson CL, </w:t>
      </w:r>
      <w:proofErr w:type="spellStart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>Malina</w:t>
      </w:r>
      <w:proofErr w:type="spellEnd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 xml:space="preserve"> RM, Milne LW, Ryan RR, </w:t>
      </w:r>
      <w:proofErr w:type="spellStart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>Vanderbunt</w:t>
      </w:r>
      <w:proofErr w:type="spellEnd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 xml:space="preserve"> EM. National athletic trainers' association position statement: preventing, detecting, and managing disordered eating in athletes. J </w:t>
      </w:r>
      <w:proofErr w:type="spellStart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>Athl</w:t>
      </w:r>
      <w:proofErr w:type="spellEnd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 xml:space="preserve"> Train. 2008; 43: 80-108. </w:t>
      </w:r>
    </w:p>
    <w:p w:rsidR="00003D9C" w:rsidRDefault="00003D9C" w:rsidP="00003D9C">
      <w:pPr>
        <w:spacing w:after="200"/>
        <w:contextualSpacing/>
        <w:jc w:val="both"/>
        <w:rPr>
          <w:rFonts w:ascii="Calibri" w:eastAsia="SimSun" w:hAnsi="Calibri" w:cs="Mangal"/>
          <w:color w:val="FF0000"/>
          <w:kern w:val="2"/>
          <w:szCs w:val="24"/>
          <w:lang w:val="en-US" w:eastAsia="hi-IN" w:bidi="hi-IN"/>
        </w:rPr>
      </w:pPr>
    </w:p>
    <w:p w:rsidR="00003D9C" w:rsidRDefault="00003D9C" w:rsidP="00003D9C">
      <w:pPr>
        <w:spacing w:after="200"/>
        <w:contextualSpacing/>
        <w:jc w:val="both"/>
        <w:rPr>
          <w:rFonts w:ascii="Calibri" w:eastAsia="SimSun" w:hAnsi="Calibri" w:cs="Mangal"/>
          <w:kern w:val="2"/>
          <w:szCs w:val="24"/>
          <w:lang w:val="en-US" w:eastAsia="hi-IN" w:bidi="hi-IN"/>
        </w:rPr>
      </w:pPr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 xml:space="preserve">Burke LM, Close GL, Lundy B, </w:t>
      </w:r>
      <w:proofErr w:type="spellStart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>Mooses</w:t>
      </w:r>
      <w:proofErr w:type="spellEnd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 xml:space="preserve"> M, Morton JP, </w:t>
      </w:r>
      <w:proofErr w:type="spellStart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>Tenforde</w:t>
      </w:r>
      <w:proofErr w:type="spellEnd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 xml:space="preserve"> AS. Relative Energy Deficiency in Sport in male athletes: a commentary on its presentation among selected groups of male athletes. </w:t>
      </w:r>
      <w:proofErr w:type="spellStart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>Int</w:t>
      </w:r>
      <w:proofErr w:type="spellEnd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 xml:space="preserve"> J Sport </w:t>
      </w:r>
      <w:proofErr w:type="spellStart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>Nutr</w:t>
      </w:r>
      <w:proofErr w:type="spellEnd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 xml:space="preserve"> </w:t>
      </w:r>
      <w:proofErr w:type="spellStart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>Exerc</w:t>
      </w:r>
      <w:proofErr w:type="spellEnd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 xml:space="preserve"> </w:t>
      </w:r>
      <w:proofErr w:type="spellStart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>Metab</w:t>
      </w:r>
      <w:proofErr w:type="spellEnd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 xml:space="preserve"> 2018; 28: 364-374.</w:t>
      </w:r>
    </w:p>
    <w:p w:rsidR="00003D9C" w:rsidRDefault="00003D9C" w:rsidP="00003D9C">
      <w:pPr>
        <w:spacing w:after="200"/>
        <w:contextualSpacing/>
        <w:jc w:val="both"/>
        <w:rPr>
          <w:rFonts w:ascii="Calibri" w:eastAsia="SimSun" w:hAnsi="Calibri" w:cs="Mangal"/>
          <w:kern w:val="2"/>
          <w:szCs w:val="24"/>
          <w:lang w:val="en-US" w:eastAsia="hi-IN" w:bidi="hi-IN"/>
        </w:rPr>
      </w:pPr>
    </w:p>
    <w:p w:rsidR="00003D9C" w:rsidRDefault="00003D9C" w:rsidP="00003D9C">
      <w:pPr>
        <w:spacing w:after="200"/>
        <w:contextualSpacing/>
        <w:jc w:val="both"/>
        <w:rPr>
          <w:rFonts w:ascii="Calibri" w:eastAsia="SimSun" w:hAnsi="Calibri" w:cs="Mangal"/>
          <w:kern w:val="2"/>
          <w:szCs w:val="24"/>
          <w:lang w:val="en-US" w:eastAsia="hi-IN" w:bidi="hi-IN"/>
        </w:rPr>
      </w:pPr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 xml:space="preserve">Chen YT, </w:t>
      </w:r>
      <w:proofErr w:type="spellStart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>Tenforde</w:t>
      </w:r>
      <w:proofErr w:type="spellEnd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 xml:space="preserve"> AS, </w:t>
      </w:r>
      <w:proofErr w:type="spellStart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>Fredericson</w:t>
      </w:r>
      <w:proofErr w:type="spellEnd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 xml:space="preserve"> M. Update on stress fractures in female athletes: epidemiology, treatment, and prevention. </w:t>
      </w:r>
      <w:proofErr w:type="spellStart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>Curr</w:t>
      </w:r>
      <w:proofErr w:type="spellEnd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 xml:space="preserve"> Rev </w:t>
      </w:r>
      <w:proofErr w:type="spellStart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>Musculoskelet</w:t>
      </w:r>
      <w:proofErr w:type="spellEnd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 xml:space="preserve"> Med 2013; 6: 173-171.</w:t>
      </w:r>
    </w:p>
    <w:p w:rsidR="00003D9C" w:rsidRDefault="00003D9C" w:rsidP="00003D9C">
      <w:pPr>
        <w:spacing w:after="200"/>
        <w:contextualSpacing/>
        <w:jc w:val="both"/>
        <w:rPr>
          <w:rFonts w:ascii="Calibri" w:eastAsia="SimSun" w:hAnsi="Calibri" w:cs="Mangal"/>
          <w:kern w:val="2"/>
          <w:szCs w:val="24"/>
          <w:lang w:val="en-US" w:eastAsia="hi-IN" w:bidi="hi-IN"/>
        </w:rPr>
      </w:pPr>
    </w:p>
    <w:p w:rsidR="00003D9C" w:rsidRDefault="00003D9C" w:rsidP="00003D9C">
      <w:pPr>
        <w:spacing w:after="200"/>
        <w:contextualSpacing/>
        <w:jc w:val="both"/>
        <w:rPr>
          <w:rFonts w:ascii="Calibri" w:eastAsia="SimSun" w:hAnsi="Calibri" w:cs="Mangal"/>
          <w:kern w:val="2"/>
          <w:szCs w:val="24"/>
          <w:lang w:val="en-US" w:eastAsia="hi-IN" w:bidi="hi-IN"/>
        </w:rPr>
      </w:pPr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 xml:space="preserve">Chou SH, </w:t>
      </w:r>
      <w:proofErr w:type="spellStart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>Mantzoros</w:t>
      </w:r>
      <w:proofErr w:type="spellEnd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 xml:space="preserve"> C. Bone metabolism in anorexia nervosa and hypothalamic amenorrhea. Metabolism 2018; 80: 91-104.</w:t>
      </w:r>
    </w:p>
    <w:p w:rsidR="00003D9C" w:rsidRDefault="00003D9C" w:rsidP="00003D9C">
      <w:pPr>
        <w:spacing w:after="200"/>
        <w:contextualSpacing/>
        <w:jc w:val="both"/>
        <w:rPr>
          <w:rFonts w:ascii="Calibri" w:eastAsia="SimSun" w:hAnsi="Calibri" w:cs="Mangal"/>
          <w:kern w:val="2"/>
          <w:szCs w:val="24"/>
          <w:lang w:val="en-US" w:eastAsia="hi-IN" w:bidi="hi-IN"/>
        </w:rPr>
      </w:pPr>
    </w:p>
    <w:p w:rsidR="00383751" w:rsidRPr="00383751" w:rsidRDefault="00383751" w:rsidP="00383751">
      <w:pPr>
        <w:jc w:val="both"/>
        <w:rPr>
          <w:rFonts w:ascii="Calibri" w:hAnsi="Calibri" w:cs="Calibri"/>
          <w:szCs w:val="24"/>
        </w:rPr>
      </w:pPr>
      <w:proofErr w:type="spellStart"/>
      <w:r w:rsidRPr="00B17895">
        <w:rPr>
          <w:rFonts w:ascii="Calibri" w:hAnsi="Calibri" w:cs="Calibri"/>
          <w:szCs w:val="24"/>
          <w:lang w:val="en-US"/>
        </w:rPr>
        <w:t>Colaianni</w:t>
      </w:r>
      <w:proofErr w:type="spellEnd"/>
      <w:r w:rsidRPr="00B17895">
        <w:rPr>
          <w:rFonts w:ascii="Calibri" w:hAnsi="Calibri" w:cs="Calibri"/>
          <w:szCs w:val="24"/>
          <w:lang w:val="en-US"/>
        </w:rPr>
        <w:t xml:space="preserve"> G, </w:t>
      </w:r>
      <w:proofErr w:type="spellStart"/>
      <w:r w:rsidRPr="00B17895">
        <w:rPr>
          <w:rFonts w:ascii="Calibri" w:hAnsi="Calibri" w:cs="Calibri"/>
          <w:szCs w:val="24"/>
          <w:lang w:val="en-US"/>
        </w:rPr>
        <w:t>Sanesi</w:t>
      </w:r>
      <w:proofErr w:type="spellEnd"/>
      <w:r w:rsidRPr="00B17895">
        <w:rPr>
          <w:rFonts w:ascii="Calibri" w:hAnsi="Calibri" w:cs="Calibri"/>
          <w:szCs w:val="24"/>
          <w:lang w:val="en-US"/>
        </w:rPr>
        <w:t xml:space="preserve"> L, </w:t>
      </w:r>
      <w:proofErr w:type="spellStart"/>
      <w:r w:rsidRPr="00B17895">
        <w:rPr>
          <w:rFonts w:ascii="Calibri" w:hAnsi="Calibri" w:cs="Calibri"/>
          <w:szCs w:val="24"/>
          <w:lang w:val="en-US"/>
        </w:rPr>
        <w:t>Storlino</w:t>
      </w:r>
      <w:proofErr w:type="spellEnd"/>
      <w:r w:rsidRPr="00B17895">
        <w:rPr>
          <w:rFonts w:ascii="Calibri" w:hAnsi="Calibri" w:cs="Calibri"/>
          <w:szCs w:val="24"/>
          <w:lang w:val="en-US"/>
        </w:rPr>
        <w:t xml:space="preserve"> G, Brunetti G, </w:t>
      </w:r>
      <w:proofErr w:type="spellStart"/>
      <w:r w:rsidRPr="00B17895">
        <w:rPr>
          <w:rFonts w:ascii="Calibri" w:hAnsi="Calibri" w:cs="Calibri"/>
          <w:szCs w:val="24"/>
          <w:lang w:val="en-US"/>
        </w:rPr>
        <w:t>Colucci</w:t>
      </w:r>
      <w:proofErr w:type="spellEnd"/>
      <w:r w:rsidRPr="00B17895">
        <w:rPr>
          <w:rFonts w:ascii="Calibri" w:hAnsi="Calibri" w:cs="Calibri"/>
          <w:szCs w:val="24"/>
          <w:lang w:val="en-US"/>
        </w:rPr>
        <w:t xml:space="preserve"> S, </w:t>
      </w:r>
      <w:proofErr w:type="spellStart"/>
      <w:r w:rsidRPr="00B17895">
        <w:rPr>
          <w:rFonts w:ascii="Calibri" w:hAnsi="Calibri" w:cs="Calibri"/>
          <w:szCs w:val="24"/>
          <w:lang w:val="en-US"/>
        </w:rPr>
        <w:t>Grano</w:t>
      </w:r>
      <w:proofErr w:type="spellEnd"/>
      <w:r w:rsidRPr="00B17895">
        <w:rPr>
          <w:rFonts w:ascii="Calibri" w:hAnsi="Calibri" w:cs="Calibri"/>
          <w:szCs w:val="24"/>
          <w:lang w:val="en-US"/>
        </w:rPr>
        <w:t xml:space="preserve"> M. </w:t>
      </w:r>
      <w:proofErr w:type="spellStart"/>
      <w:r w:rsidRPr="00B17895">
        <w:rPr>
          <w:rFonts w:ascii="Calibri" w:hAnsi="Calibri" w:cs="Calibri"/>
          <w:szCs w:val="24"/>
          <w:lang w:val="en-US"/>
        </w:rPr>
        <w:t>Irisin</w:t>
      </w:r>
      <w:proofErr w:type="spellEnd"/>
      <w:r w:rsidRPr="00B17895">
        <w:rPr>
          <w:rFonts w:ascii="Calibri" w:hAnsi="Calibri" w:cs="Calibri"/>
          <w:szCs w:val="24"/>
          <w:lang w:val="en-US"/>
        </w:rPr>
        <w:t xml:space="preserve"> and Bone: From Preclinical Studies to the Evaluation of Its Circulating Levels in Different Populations of Human Subjects. </w:t>
      </w:r>
      <w:proofErr w:type="spellStart"/>
      <w:r w:rsidRPr="00383751">
        <w:rPr>
          <w:rFonts w:ascii="Calibri" w:hAnsi="Calibri" w:cs="Calibri"/>
          <w:szCs w:val="24"/>
        </w:rPr>
        <w:t>Cells</w:t>
      </w:r>
      <w:proofErr w:type="spellEnd"/>
      <w:r w:rsidRPr="00383751">
        <w:rPr>
          <w:rFonts w:ascii="Calibri" w:hAnsi="Calibri" w:cs="Calibri"/>
          <w:szCs w:val="24"/>
        </w:rPr>
        <w:t xml:space="preserve"> 2019;8:451; doi:10.3390/cells8050451.</w:t>
      </w:r>
    </w:p>
    <w:p w:rsidR="00383751" w:rsidRDefault="00383751" w:rsidP="00003D9C">
      <w:pPr>
        <w:spacing w:after="200"/>
        <w:contextualSpacing/>
        <w:jc w:val="both"/>
        <w:rPr>
          <w:rFonts w:ascii="Calibri" w:eastAsia="SimSun" w:hAnsi="Calibri" w:cs="Mangal"/>
          <w:kern w:val="2"/>
          <w:szCs w:val="24"/>
          <w:lang w:eastAsia="hi-IN" w:bidi="hi-IN"/>
        </w:rPr>
      </w:pPr>
    </w:p>
    <w:p w:rsidR="00003D9C" w:rsidRDefault="00003D9C" w:rsidP="00003D9C">
      <w:pPr>
        <w:spacing w:after="200"/>
        <w:contextualSpacing/>
        <w:jc w:val="both"/>
        <w:rPr>
          <w:rFonts w:ascii="Calibri" w:eastAsia="SimSun" w:hAnsi="Calibri" w:cs="Mangal"/>
          <w:kern w:val="2"/>
          <w:szCs w:val="24"/>
          <w:lang w:val="en-US" w:eastAsia="hi-IN" w:bidi="hi-IN"/>
        </w:rPr>
      </w:pPr>
      <w:r w:rsidRPr="00383751">
        <w:rPr>
          <w:rFonts w:ascii="Calibri" w:eastAsia="SimSun" w:hAnsi="Calibri" w:cs="Mangal"/>
          <w:kern w:val="2"/>
          <w:szCs w:val="24"/>
          <w:lang w:eastAsia="hi-IN" w:bidi="hi-IN"/>
        </w:rPr>
        <w:t xml:space="preserve">D’Amelio P, </w:t>
      </w:r>
      <w:proofErr w:type="spellStart"/>
      <w:r w:rsidRPr="00383751">
        <w:rPr>
          <w:rFonts w:ascii="Calibri" w:eastAsia="SimSun" w:hAnsi="Calibri" w:cs="Mangal"/>
          <w:kern w:val="2"/>
          <w:szCs w:val="24"/>
          <w:lang w:eastAsia="hi-IN" w:bidi="hi-IN"/>
        </w:rPr>
        <w:t>Spertino</w:t>
      </w:r>
      <w:proofErr w:type="spellEnd"/>
      <w:r w:rsidRPr="00383751">
        <w:rPr>
          <w:rFonts w:ascii="Calibri" w:eastAsia="SimSun" w:hAnsi="Calibri" w:cs="Mangal"/>
          <w:kern w:val="2"/>
          <w:szCs w:val="24"/>
          <w:lang w:eastAsia="hi-IN" w:bidi="hi-IN"/>
        </w:rPr>
        <w:t xml:space="preserve"> E, Martino F, Isaia GC. </w:t>
      </w:r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 xml:space="preserve">Prevalence of postmenopausal osteoporosis in Italy and validation of decision rules for referring women for bone densitometry. </w:t>
      </w:r>
      <w:proofErr w:type="spellStart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>Calcif</w:t>
      </w:r>
      <w:proofErr w:type="spellEnd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 xml:space="preserve"> Tissue </w:t>
      </w:r>
      <w:proofErr w:type="spellStart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>Int</w:t>
      </w:r>
      <w:proofErr w:type="spellEnd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 xml:space="preserve"> 2013; 92: 437-443.</w:t>
      </w:r>
    </w:p>
    <w:p w:rsidR="00003D9C" w:rsidRDefault="00003D9C" w:rsidP="00003D9C">
      <w:pPr>
        <w:spacing w:after="200"/>
        <w:contextualSpacing/>
        <w:jc w:val="both"/>
        <w:rPr>
          <w:rFonts w:ascii="Calibri" w:eastAsia="SimSun" w:hAnsi="Calibri" w:cs="Mangal"/>
          <w:kern w:val="2"/>
          <w:szCs w:val="24"/>
          <w:lang w:val="en-US" w:eastAsia="hi-IN" w:bidi="hi-IN"/>
        </w:rPr>
      </w:pPr>
    </w:p>
    <w:p w:rsidR="00003D9C" w:rsidRDefault="00003D9C" w:rsidP="00003D9C">
      <w:pPr>
        <w:spacing w:after="200"/>
        <w:contextualSpacing/>
        <w:jc w:val="both"/>
        <w:rPr>
          <w:rFonts w:ascii="Calibri" w:eastAsia="SimSun" w:hAnsi="Calibri" w:cs="Mangal"/>
          <w:kern w:val="2"/>
          <w:szCs w:val="24"/>
          <w:lang w:val="en-US" w:eastAsia="hi-IN" w:bidi="hi-IN"/>
        </w:rPr>
      </w:pPr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 xml:space="preserve">De Souza MJ, </w:t>
      </w:r>
      <w:proofErr w:type="spellStart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>Nattiv</w:t>
      </w:r>
      <w:proofErr w:type="spellEnd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 xml:space="preserve"> A, Joy E, </w:t>
      </w:r>
      <w:proofErr w:type="spellStart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>Misra</w:t>
      </w:r>
      <w:proofErr w:type="spellEnd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 xml:space="preserve"> M, Williams NI, </w:t>
      </w:r>
      <w:proofErr w:type="spellStart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>Mallinson</w:t>
      </w:r>
      <w:proofErr w:type="spellEnd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 xml:space="preserve"> RJ, Gibbs JC, Olmsted M, </w:t>
      </w:r>
      <w:proofErr w:type="spellStart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>Goolsby</w:t>
      </w:r>
      <w:proofErr w:type="spellEnd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 xml:space="preserve"> M, Matheson G; Expert Panel. 2014 Female Athlete Triad Coalition Consensus Statement on treatment and return to play of the female athlete triad: 1st International Conference held in San Francisco, California, May 2012 and 2nd International Conference held in Indianapolis, Indiana, May 2013. Br J Sports Med 2014; 48: 289.</w:t>
      </w:r>
    </w:p>
    <w:p w:rsidR="00003D9C" w:rsidRDefault="00003D9C" w:rsidP="00003D9C">
      <w:pPr>
        <w:spacing w:after="200"/>
        <w:contextualSpacing/>
        <w:jc w:val="both"/>
        <w:rPr>
          <w:rFonts w:ascii="Calibri" w:eastAsia="SimSun" w:hAnsi="Calibri" w:cs="Mangal"/>
          <w:kern w:val="2"/>
          <w:szCs w:val="24"/>
          <w:lang w:val="en-US" w:eastAsia="hi-IN" w:bidi="hi-IN"/>
        </w:rPr>
      </w:pPr>
    </w:p>
    <w:p w:rsidR="00003D9C" w:rsidRDefault="00003D9C" w:rsidP="00003D9C">
      <w:pPr>
        <w:spacing w:after="200"/>
        <w:contextualSpacing/>
        <w:jc w:val="both"/>
        <w:rPr>
          <w:rFonts w:ascii="Calibri" w:eastAsia="SimSun" w:hAnsi="Calibri" w:cs="Mangal"/>
          <w:kern w:val="2"/>
          <w:szCs w:val="24"/>
          <w:lang w:val="en-US" w:eastAsia="hi-IN" w:bidi="hi-IN"/>
        </w:rPr>
      </w:pPr>
      <w:proofErr w:type="spellStart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>Drabkin</w:t>
      </w:r>
      <w:proofErr w:type="spellEnd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 xml:space="preserve"> A, Rothman MS, </w:t>
      </w:r>
      <w:proofErr w:type="spellStart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>Wassenaar</w:t>
      </w:r>
      <w:proofErr w:type="spellEnd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 xml:space="preserve"> E, </w:t>
      </w:r>
      <w:proofErr w:type="spellStart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>Mascolo</w:t>
      </w:r>
      <w:proofErr w:type="spellEnd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 xml:space="preserve"> M, </w:t>
      </w:r>
      <w:proofErr w:type="spellStart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>Mehler</w:t>
      </w:r>
      <w:proofErr w:type="spellEnd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 xml:space="preserve"> PS. Assessment and clinical management of bone disease in adults with eating disorders: a review. J Eat </w:t>
      </w:r>
      <w:proofErr w:type="spellStart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>Disord</w:t>
      </w:r>
      <w:proofErr w:type="spellEnd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 xml:space="preserve"> 2017; 5: 42-51. </w:t>
      </w:r>
    </w:p>
    <w:p w:rsidR="00003D9C" w:rsidRDefault="00003D9C" w:rsidP="00003D9C">
      <w:pPr>
        <w:spacing w:after="200"/>
        <w:contextualSpacing/>
        <w:jc w:val="both"/>
        <w:rPr>
          <w:rFonts w:ascii="Calibri" w:eastAsia="SimSun" w:hAnsi="Calibri" w:cs="Mangal"/>
          <w:kern w:val="2"/>
          <w:szCs w:val="24"/>
          <w:lang w:val="en-US" w:eastAsia="hi-IN" w:bidi="hi-IN"/>
        </w:rPr>
      </w:pPr>
    </w:p>
    <w:p w:rsidR="00003D9C" w:rsidRDefault="00003D9C" w:rsidP="00003D9C">
      <w:pPr>
        <w:spacing w:after="200"/>
        <w:contextualSpacing/>
        <w:jc w:val="both"/>
        <w:rPr>
          <w:rFonts w:ascii="Calibri" w:eastAsia="SimSun" w:hAnsi="Calibri" w:cs="Mangal"/>
          <w:kern w:val="2"/>
          <w:szCs w:val="24"/>
          <w:lang w:val="en-US" w:eastAsia="hi-IN" w:bidi="hi-IN"/>
        </w:rPr>
      </w:pPr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 xml:space="preserve">Elliott-Sale KJ, </w:t>
      </w:r>
      <w:proofErr w:type="spellStart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>Tenforde</w:t>
      </w:r>
      <w:proofErr w:type="spellEnd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 xml:space="preserve"> AS, </w:t>
      </w:r>
      <w:proofErr w:type="spellStart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>Parziale</w:t>
      </w:r>
      <w:proofErr w:type="spellEnd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 xml:space="preserve"> AL, </w:t>
      </w:r>
      <w:proofErr w:type="spellStart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>Holtzman</w:t>
      </w:r>
      <w:proofErr w:type="spellEnd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 xml:space="preserve"> B, Ackerman KE. Endocrine effects of Relative Energy Deficiency in Sport. </w:t>
      </w:r>
      <w:proofErr w:type="spellStart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>Int</w:t>
      </w:r>
      <w:proofErr w:type="spellEnd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 xml:space="preserve"> J Sport </w:t>
      </w:r>
      <w:proofErr w:type="spellStart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>Nutr</w:t>
      </w:r>
      <w:proofErr w:type="spellEnd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 xml:space="preserve"> </w:t>
      </w:r>
      <w:proofErr w:type="spellStart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>Exerc</w:t>
      </w:r>
      <w:proofErr w:type="spellEnd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 xml:space="preserve"> </w:t>
      </w:r>
      <w:proofErr w:type="spellStart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>Metab</w:t>
      </w:r>
      <w:proofErr w:type="spellEnd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 xml:space="preserve"> 2018; 28: 335-349. </w:t>
      </w:r>
    </w:p>
    <w:p w:rsidR="00003D9C" w:rsidRDefault="00003D9C" w:rsidP="00003D9C">
      <w:pPr>
        <w:spacing w:after="200"/>
        <w:contextualSpacing/>
        <w:jc w:val="both"/>
        <w:rPr>
          <w:rFonts w:ascii="Calibri" w:eastAsia="SimSun" w:hAnsi="Calibri" w:cs="Mangal"/>
          <w:color w:val="FF0000"/>
          <w:kern w:val="2"/>
          <w:szCs w:val="24"/>
          <w:lang w:val="en-US" w:eastAsia="hi-IN" w:bidi="hi-IN"/>
        </w:rPr>
      </w:pPr>
    </w:p>
    <w:p w:rsidR="00003D9C" w:rsidRDefault="00003D9C" w:rsidP="00003D9C">
      <w:pPr>
        <w:spacing w:after="200"/>
        <w:contextualSpacing/>
        <w:jc w:val="both"/>
        <w:rPr>
          <w:rFonts w:ascii="Calibri" w:eastAsia="SimSun" w:hAnsi="Calibri" w:cs="Mangal"/>
          <w:kern w:val="2"/>
          <w:szCs w:val="24"/>
          <w:lang w:val="en-US" w:eastAsia="hi-IN" w:bidi="hi-IN"/>
        </w:rPr>
      </w:pPr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 xml:space="preserve">Gordon CM, Ackerman KE, </w:t>
      </w:r>
      <w:proofErr w:type="spellStart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>Berga</w:t>
      </w:r>
      <w:proofErr w:type="spellEnd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 xml:space="preserve"> SL, Kaplan JR, </w:t>
      </w:r>
      <w:proofErr w:type="spellStart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>Mastorakos</w:t>
      </w:r>
      <w:proofErr w:type="spellEnd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 xml:space="preserve"> G, </w:t>
      </w:r>
      <w:proofErr w:type="spellStart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>Misra</w:t>
      </w:r>
      <w:proofErr w:type="spellEnd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 xml:space="preserve"> M, Murad MH, Santoro NF, Warren MP. Functional hypothalamic amenorrhea: an Endocrine Society clinical practice guideline. J </w:t>
      </w:r>
      <w:proofErr w:type="spellStart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>Clin</w:t>
      </w:r>
      <w:proofErr w:type="spellEnd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 xml:space="preserve"> </w:t>
      </w:r>
      <w:proofErr w:type="spellStart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>Endocrinol</w:t>
      </w:r>
      <w:proofErr w:type="spellEnd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 xml:space="preserve"> </w:t>
      </w:r>
      <w:proofErr w:type="spellStart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>Metab</w:t>
      </w:r>
      <w:proofErr w:type="spellEnd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 xml:space="preserve"> 2017; 102: 1413-1439.</w:t>
      </w:r>
    </w:p>
    <w:p w:rsidR="00003D9C" w:rsidRDefault="00003D9C" w:rsidP="00003D9C">
      <w:pPr>
        <w:spacing w:after="200"/>
        <w:contextualSpacing/>
        <w:jc w:val="both"/>
        <w:rPr>
          <w:rFonts w:ascii="Calibri" w:eastAsia="SimSun" w:hAnsi="Calibri" w:cs="Mangal"/>
          <w:kern w:val="2"/>
          <w:szCs w:val="24"/>
          <w:lang w:val="en-US" w:eastAsia="hi-IN" w:bidi="hi-IN"/>
        </w:rPr>
      </w:pPr>
    </w:p>
    <w:p w:rsidR="00003D9C" w:rsidRDefault="00003D9C" w:rsidP="00003D9C">
      <w:pPr>
        <w:spacing w:after="200"/>
        <w:contextualSpacing/>
        <w:jc w:val="both"/>
        <w:rPr>
          <w:rFonts w:ascii="Calibri" w:eastAsia="SimSun" w:hAnsi="Calibri" w:cs="Mangal"/>
          <w:kern w:val="2"/>
          <w:szCs w:val="24"/>
          <w:lang w:val="en-US" w:eastAsia="hi-IN" w:bidi="hi-IN"/>
        </w:rPr>
      </w:pPr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 xml:space="preserve">Hooper DR, </w:t>
      </w:r>
      <w:proofErr w:type="spellStart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>Tenforde</w:t>
      </w:r>
      <w:proofErr w:type="spellEnd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 xml:space="preserve"> AS, Hackney AC. Treating exercise-associated low testosterone and its related symptoms. Phys </w:t>
      </w:r>
      <w:proofErr w:type="spellStart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>Sportsmed</w:t>
      </w:r>
      <w:proofErr w:type="spellEnd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>. 2018; 46: 427-443.</w:t>
      </w:r>
    </w:p>
    <w:p w:rsidR="0053439B" w:rsidRDefault="0053439B" w:rsidP="0053439B">
      <w:pPr>
        <w:jc w:val="both"/>
        <w:rPr>
          <w:rFonts w:ascii="Calibri" w:hAnsi="Calibri" w:cs="Calibri"/>
          <w:color w:val="FF0000"/>
          <w:szCs w:val="24"/>
          <w:lang w:val="en-US"/>
        </w:rPr>
      </w:pPr>
    </w:p>
    <w:p w:rsidR="0053439B" w:rsidRPr="00B17895" w:rsidRDefault="0053439B" w:rsidP="0053439B">
      <w:pPr>
        <w:jc w:val="both"/>
        <w:rPr>
          <w:rFonts w:ascii="Calibri" w:hAnsi="Calibri" w:cs="Calibri"/>
          <w:szCs w:val="24"/>
          <w:lang w:val="en-US"/>
        </w:rPr>
      </w:pPr>
      <w:r w:rsidRPr="00B17895">
        <w:rPr>
          <w:rFonts w:ascii="Calibri" w:hAnsi="Calibri" w:cs="Calibri"/>
          <w:szCs w:val="24"/>
          <w:lang w:val="en-US"/>
        </w:rPr>
        <w:t>J</w:t>
      </w:r>
      <w:r>
        <w:rPr>
          <w:rFonts w:ascii="Calibri" w:hAnsi="Calibri" w:cs="Calibri"/>
          <w:szCs w:val="24"/>
          <w:lang w:val="en-US"/>
        </w:rPr>
        <w:t>anssen I,</w:t>
      </w:r>
      <w:r w:rsidRPr="00B17895">
        <w:rPr>
          <w:rFonts w:ascii="Calibri" w:hAnsi="Calibri" w:cs="Calibri"/>
          <w:szCs w:val="24"/>
          <w:lang w:val="en-US"/>
        </w:rPr>
        <w:t xml:space="preserve"> LeBlanc AG</w:t>
      </w:r>
      <w:r>
        <w:rPr>
          <w:rFonts w:ascii="Calibri" w:hAnsi="Calibri" w:cs="Calibri"/>
          <w:szCs w:val="24"/>
          <w:lang w:val="en-US"/>
        </w:rPr>
        <w:t>.</w:t>
      </w:r>
      <w:r w:rsidRPr="00B17895">
        <w:rPr>
          <w:rFonts w:ascii="Calibri" w:hAnsi="Calibri" w:cs="Calibri"/>
          <w:szCs w:val="24"/>
          <w:lang w:val="en-US"/>
        </w:rPr>
        <w:t xml:space="preserve"> S</w:t>
      </w:r>
      <w:r>
        <w:rPr>
          <w:rFonts w:ascii="Calibri" w:hAnsi="Calibri" w:cs="Calibri"/>
          <w:szCs w:val="24"/>
          <w:lang w:val="en-US"/>
        </w:rPr>
        <w:t>y</w:t>
      </w:r>
      <w:r w:rsidRPr="00B17895">
        <w:rPr>
          <w:rFonts w:ascii="Calibri" w:hAnsi="Calibri" w:cs="Calibri"/>
          <w:szCs w:val="24"/>
          <w:lang w:val="en-US"/>
        </w:rPr>
        <w:t xml:space="preserve">stematic review of the health benefits of physical activity and fitness in school-aged children and youth. </w:t>
      </w:r>
      <w:proofErr w:type="spellStart"/>
      <w:r w:rsidRPr="00B17895">
        <w:rPr>
          <w:rFonts w:ascii="Calibri" w:hAnsi="Calibri" w:cs="Calibri"/>
          <w:szCs w:val="24"/>
          <w:lang w:val="en-US"/>
        </w:rPr>
        <w:t>Int</w:t>
      </w:r>
      <w:proofErr w:type="spellEnd"/>
      <w:r w:rsidRPr="00B17895">
        <w:rPr>
          <w:rFonts w:ascii="Calibri" w:hAnsi="Calibri" w:cs="Calibri"/>
          <w:szCs w:val="24"/>
          <w:lang w:val="en-US"/>
        </w:rPr>
        <w:t xml:space="preserve"> J </w:t>
      </w:r>
      <w:proofErr w:type="spellStart"/>
      <w:r w:rsidRPr="00B17895">
        <w:rPr>
          <w:rFonts w:ascii="Calibri" w:hAnsi="Calibri" w:cs="Calibri"/>
          <w:szCs w:val="24"/>
          <w:lang w:val="en-US"/>
        </w:rPr>
        <w:t>Behav</w:t>
      </w:r>
      <w:proofErr w:type="spellEnd"/>
      <w:r w:rsidRPr="00B17895">
        <w:rPr>
          <w:rFonts w:ascii="Calibri" w:hAnsi="Calibri" w:cs="Calibri"/>
          <w:szCs w:val="24"/>
          <w:lang w:val="en-US"/>
        </w:rPr>
        <w:t xml:space="preserve"> </w:t>
      </w:r>
      <w:proofErr w:type="spellStart"/>
      <w:r w:rsidRPr="00B17895">
        <w:rPr>
          <w:rFonts w:ascii="Calibri" w:hAnsi="Calibri" w:cs="Calibri"/>
          <w:szCs w:val="24"/>
          <w:lang w:val="en-US"/>
        </w:rPr>
        <w:t>Nutr</w:t>
      </w:r>
      <w:proofErr w:type="spellEnd"/>
      <w:r w:rsidRPr="00B17895">
        <w:rPr>
          <w:rFonts w:ascii="Calibri" w:hAnsi="Calibri" w:cs="Calibri"/>
          <w:szCs w:val="24"/>
          <w:lang w:val="en-US"/>
        </w:rPr>
        <w:t xml:space="preserve"> Phys Act</w:t>
      </w:r>
      <w:r>
        <w:rPr>
          <w:rFonts w:ascii="Calibri" w:hAnsi="Calibri" w:cs="Calibri"/>
          <w:szCs w:val="24"/>
          <w:lang w:val="en-US"/>
        </w:rPr>
        <w:t>.</w:t>
      </w:r>
      <w:r w:rsidRPr="00B17895">
        <w:rPr>
          <w:rFonts w:ascii="Calibri" w:hAnsi="Calibri" w:cs="Calibri"/>
          <w:szCs w:val="24"/>
          <w:lang w:val="en-US"/>
        </w:rPr>
        <w:t xml:space="preserve"> 2010,7:40</w:t>
      </w:r>
      <w:r>
        <w:rPr>
          <w:rFonts w:ascii="Calibri" w:hAnsi="Calibri" w:cs="Calibri"/>
          <w:szCs w:val="24"/>
          <w:lang w:val="en-US"/>
        </w:rPr>
        <w:t>.</w:t>
      </w:r>
    </w:p>
    <w:p w:rsidR="0053439B" w:rsidRPr="0053439B" w:rsidRDefault="0053439B" w:rsidP="0053439B">
      <w:pPr>
        <w:jc w:val="both"/>
        <w:rPr>
          <w:rFonts w:ascii="Calibri" w:hAnsi="Calibri" w:cs="Calibri"/>
          <w:color w:val="FF0000"/>
          <w:szCs w:val="24"/>
          <w:lang w:val="en-US"/>
        </w:rPr>
      </w:pPr>
    </w:p>
    <w:p w:rsidR="00003D9C" w:rsidRDefault="00003D9C" w:rsidP="00003D9C">
      <w:pPr>
        <w:spacing w:after="200"/>
        <w:contextualSpacing/>
        <w:jc w:val="both"/>
        <w:rPr>
          <w:rFonts w:ascii="Calibri" w:eastAsia="SimSun" w:hAnsi="Calibri" w:cs="Mangal"/>
          <w:kern w:val="2"/>
          <w:szCs w:val="24"/>
          <w:lang w:val="en-US" w:eastAsia="hi-IN" w:bidi="hi-IN"/>
        </w:rPr>
      </w:pPr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 xml:space="preserve">Joy E, </w:t>
      </w:r>
      <w:proofErr w:type="spellStart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>Kussman</w:t>
      </w:r>
      <w:proofErr w:type="spellEnd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 xml:space="preserve"> A, </w:t>
      </w:r>
      <w:proofErr w:type="spellStart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>Nattiv</w:t>
      </w:r>
      <w:proofErr w:type="spellEnd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 xml:space="preserve"> A. 2016 update on eating disorders in athletes: a comprehensive narrative review with a focus on clinical assessment and management. Br J Sports Med 2016; 50: 154–162.</w:t>
      </w:r>
    </w:p>
    <w:p w:rsidR="00003D9C" w:rsidRDefault="00003D9C" w:rsidP="00003D9C">
      <w:pPr>
        <w:spacing w:after="200"/>
        <w:contextualSpacing/>
        <w:jc w:val="both"/>
        <w:rPr>
          <w:rFonts w:ascii="Calibri" w:eastAsia="SimSun" w:hAnsi="Calibri" w:cs="Mangal"/>
          <w:kern w:val="2"/>
          <w:szCs w:val="24"/>
          <w:lang w:val="en-US" w:eastAsia="hi-IN" w:bidi="hi-IN"/>
        </w:rPr>
      </w:pPr>
    </w:p>
    <w:p w:rsidR="00003D9C" w:rsidRDefault="00003D9C" w:rsidP="00003D9C">
      <w:pPr>
        <w:spacing w:after="200"/>
        <w:contextualSpacing/>
        <w:jc w:val="both"/>
        <w:rPr>
          <w:rFonts w:ascii="Calibri" w:eastAsia="SimSun" w:hAnsi="Calibri" w:cs="Mangal"/>
          <w:kern w:val="2"/>
          <w:szCs w:val="24"/>
          <w:lang w:val="en-US" w:eastAsia="hi-IN" w:bidi="hi-IN"/>
        </w:rPr>
      </w:pPr>
      <w:proofErr w:type="spellStart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>Kandemir</w:t>
      </w:r>
      <w:proofErr w:type="spellEnd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 xml:space="preserve"> N, Slattery M, Ackerman KE, </w:t>
      </w:r>
      <w:proofErr w:type="spellStart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>Tulsiani</w:t>
      </w:r>
      <w:proofErr w:type="spellEnd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 xml:space="preserve"> S, Bose A, </w:t>
      </w:r>
      <w:proofErr w:type="spellStart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>Singhal</w:t>
      </w:r>
      <w:proofErr w:type="spellEnd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 xml:space="preserve"> V, </w:t>
      </w:r>
      <w:proofErr w:type="spellStart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>Baskaran</w:t>
      </w:r>
      <w:proofErr w:type="spellEnd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 xml:space="preserve"> C, </w:t>
      </w:r>
      <w:proofErr w:type="spellStart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>Ebrahimi</w:t>
      </w:r>
      <w:proofErr w:type="spellEnd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 xml:space="preserve"> S, Goldstein M, Eddy K, </w:t>
      </w:r>
      <w:proofErr w:type="spellStart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>Klibanski</w:t>
      </w:r>
      <w:proofErr w:type="spellEnd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 xml:space="preserve"> A, </w:t>
      </w:r>
      <w:proofErr w:type="spellStart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>Misra</w:t>
      </w:r>
      <w:proofErr w:type="spellEnd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 xml:space="preserve"> M. Bone parameters in anorexia nervosa and athletic amenorrhea: comparison of two hypothalamic amenorrhea states. J </w:t>
      </w:r>
      <w:proofErr w:type="spellStart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>Clin</w:t>
      </w:r>
      <w:proofErr w:type="spellEnd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 xml:space="preserve"> </w:t>
      </w:r>
      <w:proofErr w:type="spellStart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>Endocrinol</w:t>
      </w:r>
      <w:proofErr w:type="spellEnd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 xml:space="preserve"> </w:t>
      </w:r>
      <w:proofErr w:type="spellStart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>Metab</w:t>
      </w:r>
      <w:proofErr w:type="spellEnd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 xml:space="preserve"> 2018; 103: 2392-2402.</w:t>
      </w:r>
    </w:p>
    <w:p w:rsidR="00003D9C" w:rsidRDefault="00003D9C" w:rsidP="00003D9C">
      <w:pPr>
        <w:spacing w:after="200"/>
        <w:contextualSpacing/>
        <w:jc w:val="both"/>
        <w:rPr>
          <w:rFonts w:ascii="Calibri" w:eastAsia="SimSun" w:hAnsi="Calibri" w:cs="Mangal"/>
          <w:kern w:val="2"/>
          <w:szCs w:val="24"/>
          <w:lang w:val="en-US" w:eastAsia="hi-IN" w:bidi="hi-IN"/>
        </w:rPr>
      </w:pPr>
    </w:p>
    <w:p w:rsidR="00003D9C" w:rsidRDefault="00003D9C" w:rsidP="00003D9C">
      <w:pPr>
        <w:spacing w:after="200"/>
        <w:contextualSpacing/>
        <w:jc w:val="both"/>
        <w:rPr>
          <w:rFonts w:ascii="Calibri" w:eastAsia="SimSun" w:hAnsi="Calibri" w:cs="Mangal"/>
          <w:kern w:val="2"/>
          <w:szCs w:val="24"/>
          <w:lang w:val="en-US" w:eastAsia="hi-IN" w:bidi="hi-IN"/>
        </w:rPr>
      </w:pPr>
      <w:proofErr w:type="spellStart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>Kroshus</w:t>
      </w:r>
      <w:proofErr w:type="spellEnd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 xml:space="preserve"> E, </w:t>
      </w:r>
      <w:proofErr w:type="spellStart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>DeFreese</w:t>
      </w:r>
      <w:proofErr w:type="spellEnd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 xml:space="preserve"> JD, Kerr ZY. Collegiate athletic trainers' knowledge of the female athlete triad and Relative Energy Deficiency in Sport. J </w:t>
      </w:r>
      <w:proofErr w:type="spellStart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>Athl</w:t>
      </w:r>
      <w:proofErr w:type="spellEnd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 xml:space="preserve"> Train 2018; 53: 51-59. </w:t>
      </w:r>
    </w:p>
    <w:p w:rsidR="00003D9C" w:rsidRDefault="00003D9C" w:rsidP="00003D9C">
      <w:pPr>
        <w:spacing w:after="200"/>
        <w:contextualSpacing/>
        <w:jc w:val="both"/>
        <w:rPr>
          <w:rFonts w:ascii="Calibri" w:eastAsia="SimSun" w:hAnsi="Calibri" w:cs="Mangal"/>
          <w:kern w:val="2"/>
          <w:szCs w:val="24"/>
          <w:lang w:val="en-US" w:eastAsia="hi-IN" w:bidi="hi-IN"/>
        </w:rPr>
      </w:pPr>
    </w:p>
    <w:p w:rsidR="00003D9C" w:rsidRDefault="00003D9C" w:rsidP="00003D9C">
      <w:pPr>
        <w:spacing w:after="200"/>
        <w:contextualSpacing/>
        <w:jc w:val="both"/>
        <w:rPr>
          <w:rFonts w:ascii="Calibri" w:eastAsia="SimSun" w:hAnsi="Calibri" w:cs="Mangal"/>
          <w:kern w:val="2"/>
          <w:szCs w:val="24"/>
          <w:lang w:val="en-US" w:eastAsia="hi-IN" w:bidi="hi-IN"/>
        </w:rPr>
      </w:pPr>
      <w:proofErr w:type="spellStart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>Maïmoun</w:t>
      </w:r>
      <w:proofErr w:type="spellEnd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 xml:space="preserve"> L, </w:t>
      </w:r>
      <w:proofErr w:type="spellStart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>Renard</w:t>
      </w:r>
      <w:proofErr w:type="spellEnd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 xml:space="preserve"> E, Lefebvre P, </w:t>
      </w:r>
      <w:proofErr w:type="spellStart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>Bertet</w:t>
      </w:r>
      <w:proofErr w:type="spellEnd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 xml:space="preserve"> H, </w:t>
      </w:r>
      <w:proofErr w:type="spellStart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>Philibert</w:t>
      </w:r>
      <w:proofErr w:type="spellEnd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 xml:space="preserve"> P, </w:t>
      </w:r>
      <w:proofErr w:type="spellStart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>Seneque</w:t>
      </w:r>
      <w:proofErr w:type="spellEnd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 xml:space="preserve"> M, Picot MC, </w:t>
      </w:r>
      <w:proofErr w:type="spellStart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>Dupuy</w:t>
      </w:r>
      <w:proofErr w:type="spellEnd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 xml:space="preserve"> AM, </w:t>
      </w:r>
      <w:proofErr w:type="spellStart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>Gaspari</w:t>
      </w:r>
      <w:proofErr w:type="spellEnd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 xml:space="preserve"> L, Ben </w:t>
      </w:r>
      <w:proofErr w:type="spellStart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>Bouallègue</w:t>
      </w:r>
      <w:proofErr w:type="spellEnd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 xml:space="preserve"> F, </w:t>
      </w:r>
      <w:proofErr w:type="spellStart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>Courtet</w:t>
      </w:r>
      <w:proofErr w:type="spellEnd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 xml:space="preserve"> P, Mariano-</w:t>
      </w:r>
      <w:proofErr w:type="spellStart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>Goulart</w:t>
      </w:r>
      <w:proofErr w:type="spellEnd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 xml:space="preserve"> D, Sultan C, Guillaume S. Oral contraceptives partially protect from bone loss in young women with anorexia nervosa. </w:t>
      </w:r>
      <w:proofErr w:type="spellStart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>Fertil</w:t>
      </w:r>
      <w:proofErr w:type="spellEnd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 xml:space="preserve"> </w:t>
      </w:r>
      <w:proofErr w:type="spellStart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>Steril</w:t>
      </w:r>
      <w:proofErr w:type="spellEnd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 xml:space="preserve"> 2019; 111, 1020-1029. </w:t>
      </w:r>
    </w:p>
    <w:p w:rsidR="00003D9C" w:rsidRDefault="00003D9C" w:rsidP="00003D9C">
      <w:pPr>
        <w:spacing w:after="200"/>
        <w:contextualSpacing/>
        <w:jc w:val="both"/>
        <w:rPr>
          <w:rFonts w:ascii="Calibri" w:eastAsia="SimSun" w:hAnsi="Calibri" w:cs="Mangal"/>
          <w:kern w:val="2"/>
          <w:szCs w:val="24"/>
          <w:lang w:val="en-US" w:eastAsia="hi-IN" w:bidi="hi-IN"/>
        </w:rPr>
      </w:pPr>
    </w:p>
    <w:p w:rsidR="00003D9C" w:rsidRDefault="00003D9C" w:rsidP="00003D9C">
      <w:pPr>
        <w:spacing w:after="200"/>
        <w:contextualSpacing/>
        <w:jc w:val="both"/>
        <w:rPr>
          <w:rFonts w:ascii="Calibri" w:eastAsia="SimSun" w:hAnsi="Calibri" w:cs="Mangal"/>
          <w:kern w:val="2"/>
          <w:szCs w:val="24"/>
          <w:lang w:val="en-US" w:eastAsia="hi-IN" w:bidi="hi-IN"/>
        </w:rPr>
      </w:pPr>
      <w:proofErr w:type="spellStart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>Matcuk</w:t>
      </w:r>
      <w:proofErr w:type="spellEnd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 xml:space="preserve"> GR Jr, </w:t>
      </w:r>
      <w:proofErr w:type="spellStart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>Mahanty</w:t>
      </w:r>
      <w:proofErr w:type="spellEnd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 xml:space="preserve"> SR, </w:t>
      </w:r>
      <w:proofErr w:type="spellStart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>Skalski</w:t>
      </w:r>
      <w:proofErr w:type="spellEnd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 xml:space="preserve"> MR, Patel DB, White EA, </w:t>
      </w:r>
      <w:proofErr w:type="spellStart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>Gottsegen</w:t>
      </w:r>
      <w:proofErr w:type="spellEnd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 xml:space="preserve"> CJ. Stress fractures: pathophysiology, clinical presentation, imaging features, and treatment options. </w:t>
      </w:r>
      <w:proofErr w:type="spellStart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>Emerg</w:t>
      </w:r>
      <w:proofErr w:type="spellEnd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 xml:space="preserve"> </w:t>
      </w:r>
      <w:proofErr w:type="spellStart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>Radiol</w:t>
      </w:r>
      <w:proofErr w:type="spellEnd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 xml:space="preserve"> 2016; 23: 365-375.</w:t>
      </w:r>
    </w:p>
    <w:p w:rsidR="00003D9C" w:rsidRDefault="00003D9C" w:rsidP="00003D9C">
      <w:pPr>
        <w:spacing w:after="200"/>
        <w:contextualSpacing/>
        <w:jc w:val="both"/>
        <w:rPr>
          <w:rFonts w:ascii="Calibri" w:eastAsia="SimSun" w:hAnsi="Calibri" w:cs="Mangal"/>
          <w:kern w:val="2"/>
          <w:szCs w:val="24"/>
          <w:lang w:val="en-US" w:eastAsia="hi-IN" w:bidi="hi-IN"/>
        </w:rPr>
      </w:pPr>
    </w:p>
    <w:p w:rsidR="0053439B" w:rsidRPr="0053439B" w:rsidRDefault="0053439B" w:rsidP="0053439B">
      <w:pPr>
        <w:jc w:val="both"/>
        <w:rPr>
          <w:rFonts w:ascii="Calibri" w:hAnsi="Calibri" w:cs="Calibri"/>
          <w:szCs w:val="24"/>
          <w:lang w:val="en-US"/>
        </w:rPr>
      </w:pPr>
      <w:proofErr w:type="spellStart"/>
      <w:r w:rsidRPr="00B17895">
        <w:rPr>
          <w:rFonts w:ascii="Calibri" w:hAnsi="Calibri" w:cs="Calibri"/>
          <w:szCs w:val="24"/>
          <w:lang w:val="en-US"/>
        </w:rPr>
        <w:t>Mcleod</w:t>
      </w:r>
      <w:proofErr w:type="spellEnd"/>
      <w:r w:rsidRPr="00B17895">
        <w:rPr>
          <w:rFonts w:ascii="Calibri" w:hAnsi="Calibri" w:cs="Calibri"/>
          <w:szCs w:val="24"/>
          <w:lang w:val="en-US"/>
        </w:rPr>
        <w:t xml:space="preserve"> JC, Stokes T, Phillips SM. Resistance Exercise Training as a Primary Countermeasure to Age-Related Chronic Disease. Front. Physiol. 2019; </w:t>
      </w:r>
      <w:hyperlink r:id="rId5" w:history="1">
        <w:r w:rsidRPr="00B17895">
          <w:rPr>
            <w:rStyle w:val="Collegamentoipertestuale"/>
            <w:rFonts w:ascii="Calibri" w:hAnsi="Calibri" w:cs="Calibri"/>
            <w:szCs w:val="24"/>
            <w:lang w:val="en-US"/>
          </w:rPr>
          <w:t>https://doi.org/10.3389/fphys.2019.00645</w:t>
        </w:r>
      </w:hyperlink>
    </w:p>
    <w:p w:rsidR="0053439B" w:rsidRDefault="0053439B" w:rsidP="00003D9C">
      <w:pPr>
        <w:spacing w:after="200"/>
        <w:contextualSpacing/>
        <w:jc w:val="both"/>
        <w:rPr>
          <w:rFonts w:ascii="Calibri" w:eastAsia="SimSun" w:hAnsi="Calibri" w:cs="Mangal"/>
          <w:kern w:val="2"/>
          <w:szCs w:val="24"/>
          <w:lang w:val="en-US" w:eastAsia="hi-IN" w:bidi="hi-IN"/>
        </w:rPr>
      </w:pPr>
    </w:p>
    <w:p w:rsidR="00003D9C" w:rsidRDefault="00003D9C" w:rsidP="00003D9C">
      <w:pPr>
        <w:spacing w:after="200"/>
        <w:contextualSpacing/>
        <w:jc w:val="both"/>
        <w:rPr>
          <w:rFonts w:ascii="Calibri" w:eastAsia="SimSun" w:hAnsi="Calibri" w:cs="Mangal"/>
          <w:kern w:val="2"/>
          <w:szCs w:val="24"/>
          <w:lang w:val="en-US" w:eastAsia="hi-IN" w:bidi="hi-IN"/>
        </w:rPr>
      </w:pPr>
      <w:proofErr w:type="spellStart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>Melin</w:t>
      </w:r>
      <w:proofErr w:type="spellEnd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 xml:space="preserve"> AK,</w:t>
      </w:r>
      <w:r>
        <w:rPr>
          <w:rFonts w:ascii="Arial" w:eastAsia="SimSun" w:hAnsi="Arial" w:cs="Arial"/>
          <w:color w:val="000000"/>
          <w:kern w:val="2"/>
          <w:szCs w:val="24"/>
          <w:shd w:val="clear" w:color="auto" w:fill="FFFFFF"/>
          <w:lang w:val="en-US" w:eastAsia="hi-IN" w:bidi="hi-IN"/>
        </w:rPr>
        <w:t xml:space="preserve"> </w:t>
      </w:r>
      <w:proofErr w:type="spellStart"/>
      <w:r>
        <w:rPr>
          <w:rFonts w:ascii="Arial" w:eastAsia="SimSun" w:hAnsi="Arial" w:cs="Arial"/>
          <w:color w:val="000000"/>
          <w:kern w:val="2"/>
          <w:szCs w:val="24"/>
          <w:shd w:val="clear" w:color="auto" w:fill="FFFFFF"/>
          <w:lang w:val="en-US" w:eastAsia="hi-IN" w:bidi="hi-IN"/>
        </w:rPr>
        <w:t>Heikura</w:t>
      </w:r>
      <w:proofErr w:type="spellEnd"/>
      <w:r>
        <w:rPr>
          <w:rFonts w:ascii="Arial" w:eastAsia="SimSun" w:hAnsi="Arial" w:cs="Arial"/>
          <w:color w:val="000000"/>
          <w:kern w:val="2"/>
          <w:szCs w:val="24"/>
          <w:shd w:val="clear" w:color="auto" w:fill="FFFFFF"/>
          <w:lang w:val="en-US" w:eastAsia="hi-IN" w:bidi="hi-IN"/>
        </w:rPr>
        <w:t xml:space="preserve"> IA, </w:t>
      </w:r>
      <w:proofErr w:type="spellStart"/>
      <w:r>
        <w:rPr>
          <w:rFonts w:ascii="Arial" w:eastAsia="SimSun" w:hAnsi="Arial" w:cs="Arial"/>
          <w:color w:val="000000"/>
          <w:kern w:val="2"/>
          <w:szCs w:val="24"/>
          <w:shd w:val="clear" w:color="auto" w:fill="FFFFFF"/>
          <w:lang w:val="en-US" w:eastAsia="hi-IN" w:bidi="hi-IN"/>
        </w:rPr>
        <w:t>Tenforde</w:t>
      </w:r>
      <w:proofErr w:type="spellEnd"/>
      <w:r>
        <w:rPr>
          <w:rFonts w:ascii="Arial" w:eastAsia="SimSun" w:hAnsi="Arial" w:cs="Arial"/>
          <w:color w:val="000000"/>
          <w:kern w:val="2"/>
          <w:szCs w:val="24"/>
          <w:shd w:val="clear" w:color="auto" w:fill="FFFFFF"/>
          <w:lang w:val="en-US" w:eastAsia="hi-IN" w:bidi="hi-IN"/>
        </w:rPr>
        <w:t xml:space="preserve"> A, </w:t>
      </w:r>
      <w:proofErr w:type="spellStart"/>
      <w:r>
        <w:rPr>
          <w:rFonts w:ascii="Arial" w:eastAsia="SimSun" w:hAnsi="Arial" w:cs="Arial"/>
          <w:color w:val="000000"/>
          <w:kern w:val="2"/>
          <w:szCs w:val="24"/>
          <w:shd w:val="clear" w:color="auto" w:fill="FFFFFF"/>
          <w:lang w:val="en-US" w:eastAsia="hi-IN" w:bidi="hi-IN"/>
        </w:rPr>
        <w:t>Mountjoy</w:t>
      </w:r>
      <w:proofErr w:type="spellEnd"/>
      <w:r>
        <w:rPr>
          <w:rFonts w:ascii="Arial" w:eastAsia="SimSun" w:hAnsi="Arial" w:cs="Arial"/>
          <w:color w:val="000000"/>
          <w:kern w:val="2"/>
          <w:szCs w:val="24"/>
          <w:shd w:val="clear" w:color="auto" w:fill="FFFFFF"/>
          <w:lang w:val="en-US" w:eastAsia="hi-IN" w:bidi="hi-IN"/>
        </w:rPr>
        <w:t xml:space="preserve"> M. </w:t>
      </w:r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 xml:space="preserve">Energy availability in athletics: health, performance and physique. </w:t>
      </w:r>
      <w:proofErr w:type="spellStart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>Int</w:t>
      </w:r>
      <w:proofErr w:type="spellEnd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 xml:space="preserve"> J Sport </w:t>
      </w:r>
      <w:proofErr w:type="spellStart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>Nutr</w:t>
      </w:r>
      <w:proofErr w:type="spellEnd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 xml:space="preserve"> </w:t>
      </w:r>
      <w:proofErr w:type="spellStart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>Exerc</w:t>
      </w:r>
      <w:proofErr w:type="spellEnd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 xml:space="preserve"> </w:t>
      </w:r>
      <w:proofErr w:type="spellStart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>Metab</w:t>
      </w:r>
      <w:proofErr w:type="spellEnd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 xml:space="preserve"> 2019; 29: 152-164.</w:t>
      </w:r>
    </w:p>
    <w:p w:rsidR="00003D9C" w:rsidRDefault="00003D9C" w:rsidP="00003D9C">
      <w:pPr>
        <w:spacing w:after="200"/>
        <w:contextualSpacing/>
        <w:jc w:val="both"/>
        <w:rPr>
          <w:rFonts w:ascii="Calibri" w:eastAsia="SimSun" w:hAnsi="Calibri" w:cs="Mangal"/>
          <w:kern w:val="2"/>
          <w:szCs w:val="24"/>
          <w:lang w:val="en-US" w:eastAsia="hi-IN" w:bidi="hi-IN"/>
        </w:rPr>
      </w:pPr>
    </w:p>
    <w:p w:rsidR="00003D9C" w:rsidRDefault="00003D9C" w:rsidP="00003D9C">
      <w:pPr>
        <w:spacing w:after="200"/>
        <w:contextualSpacing/>
        <w:jc w:val="both"/>
        <w:rPr>
          <w:rFonts w:ascii="Calibri" w:eastAsia="SimSun" w:hAnsi="Calibri" w:cs="Mangal"/>
          <w:kern w:val="2"/>
          <w:szCs w:val="24"/>
          <w:lang w:val="en-US" w:eastAsia="hi-IN" w:bidi="hi-IN"/>
        </w:rPr>
      </w:pPr>
      <w:proofErr w:type="spellStart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>Mountjoy</w:t>
      </w:r>
      <w:proofErr w:type="spellEnd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 xml:space="preserve"> M, </w:t>
      </w:r>
      <w:proofErr w:type="spellStart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>Sundgot-Borgen</w:t>
      </w:r>
      <w:proofErr w:type="spellEnd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 xml:space="preserve"> J, Burke L, Carter S, </w:t>
      </w:r>
      <w:proofErr w:type="spellStart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>Constantini</w:t>
      </w:r>
      <w:proofErr w:type="spellEnd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 xml:space="preserve"> N, Lebrun C, Meyer N, Sherman R, Steffen K, </w:t>
      </w:r>
      <w:proofErr w:type="spellStart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>Budgett</w:t>
      </w:r>
      <w:proofErr w:type="spellEnd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 xml:space="preserve"> R, </w:t>
      </w:r>
      <w:proofErr w:type="spellStart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>Ljungqvist</w:t>
      </w:r>
      <w:proofErr w:type="spellEnd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 xml:space="preserve"> A. The IOC consensus statement: beyond the Female Athlete Triad--Relative Energy Deficiency in Sport (RED-S). Br J Sports Med 2014; 48: 491-497.</w:t>
      </w:r>
    </w:p>
    <w:p w:rsidR="00003D9C" w:rsidRDefault="00003D9C" w:rsidP="00003D9C">
      <w:pPr>
        <w:spacing w:after="200"/>
        <w:contextualSpacing/>
        <w:jc w:val="both"/>
        <w:rPr>
          <w:rFonts w:ascii="Calibri" w:eastAsia="SimSun" w:hAnsi="Calibri" w:cs="Mangal"/>
          <w:kern w:val="2"/>
          <w:szCs w:val="24"/>
          <w:lang w:val="en-US" w:eastAsia="hi-IN" w:bidi="hi-IN"/>
        </w:rPr>
      </w:pPr>
    </w:p>
    <w:p w:rsidR="00003D9C" w:rsidRDefault="00003D9C" w:rsidP="00003D9C">
      <w:pPr>
        <w:spacing w:after="200"/>
        <w:contextualSpacing/>
        <w:jc w:val="both"/>
        <w:rPr>
          <w:rFonts w:ascii="Calibri" w:eastAsia="SimSun" w:hAnsi="Calibri" w:cs="Mangal"/>
          <w:kern w:val="2"/>
          <w:szCs w:val="24"/>
          <w:lang w:val="en-US" w:eastAsia="hi-IN" w:bidi="hi-IN"/>
        </w:rPr>
      </w:pPr>
      <w:proofErr w:type="spellStart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>Mountjoy</w:t>
      </w:r>
      <w:proofErr w:type="spellEnd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 xml:space="preserve"> M, </w:t>
      </w:r>
      <w:proofErr w:type="spellStart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>Sundgot-Borgen</w:t>
      </w:r>
      <w:proofErr w:type="spellEnd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 xml:space="preserve"> JK, Burke LM, Ackerman KE, </w:t>
      </w:r>
      <w:proofErr w:type="spellStart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>Blauwet</w:t>
      </w:r>
      <w:proofErr w:type="spellEnd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 xml:space="preserve"> C, </w:t>
      </w:r>
      <w:proofErr w:type="spellStart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>Constantini</w:t>
      </w:r>
      <w:proofErr w:type="spellEnd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 xml:space="preserve"> N, Lebrun C, Lundy B, </w:t>
      </w:r>
      <w:proofErr w:type="spellStart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>Melin</w:t>
      </w:r>
      <w:proofErr w:type="spellEnd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 xml:space="preserve"> AK, Meyer NL, Sherman RT, </w:t>
      </w:r>
      <w:proofErr w:type="spellStart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>Tenforde</w:t>
      </w:r>
      <w:proofErr w:type="spellEnd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 xml:space="preserve"> AS, </w:t>
      </w:r>
      <w:proofErr w:type="spellStart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>Klungland</w:t>
      </w:r>
      <w:proofErr w:type="spellEnd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 xml:space="preserve"> </w:t>
      </w:r>
      <w:proofErr w:type="spellStart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>Torstveit</w:t>
      </w:r>
      <w:proofErr w:type="spellEnd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 xml:space="preserve"> M, </w:t>
      </w:r>
      <w:proofErr w:type="spellStart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>Budgett</w:t>
      </w:r>
      <w:proofErr w:type="spellEnd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 xml:space="preserve"> R. IOC consensus statement on relative energy deficiency in sport (RED-S): 2018 update. Br J Sports Med 2018; 52: 687-697.</w:t>
      </w:r>
    </w:p>
    <w:p w:rsidR="00003D9C" w:rsidRDefault="00003D9C" w:rsidP="00003D9C">
      <w:pPr>
        <w:spacing w:after="200"/>
        <w:contextualSpacing/>
        <w:jc w:val="both"/>
        <w:rPr>
          <w:rFonts w:ascii="Calibri" w:eastAsia="SimSun" w:hAnsi="Calibri" w:cs="Mangal"/>
          <w:kern w:val="2"/>
          <w:szCs w:val="24"/>
          <w:lang w:val="en-US" w:eastAsia="hi-IN" w:bidi="hi-IN"/>
        </w:rPr>
      </w:pPr>
    </w:p>
    <w:p w:rsidR="00003D9C" w:rsidRDefault="00003D9C" w:rsidP="00003D9C">
      <w:pPr>
        <w:spacing w:after="200"/>
        <w:contextualSpacing/>
        <w:jc w:val="both"/>
        <w:rPr>
          <w:rFonts w:ascii="Calibri" w:eastAsia="SimSun" w:hAnsi="Calibri" w:cs="Mangal"/>
          <w:kern w:val="2"/>
          <w:szCs w:val="24"/>
          <w:lang w:val="en-US" w:eastAsia="hi-IN" w:bidi="hi-IN"/>
        </w:rPr>
      </w:pPr>
      <w:r>
        <w:rPr>
          <w:rFonts w:ascii="Calibri" w:eastAsia="SimSun" w:hAnsi="Calibri" w:cs="Mangal"/>
          <w:kern w:val="2"/>
          <w:szCs w:val="24"/>
          <w:lang w:val="en-US" w:eastAsia="hi-IN" w:bidi="hi-IN"/>
        </w:rPr>
        <w:lastRenderedPageBreak/>
        <w:t xml:space="preserve">Nagata JM, Carlson JL, Kao JM, Golden NH, Murray SB, Peebles R. Characterization and correlates of exercise among adolescents with anorexia nervosa and bulimia nervosa. </w:t>
      </w:r>
      <w:proofErr w:type="spellStart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>Int</w:t>
      </w:r>
      <w:proofErr w:type="spellEnd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 xml:space="preserve"> J Eat </w:t>
      </w:r>
      <w:proofErr w:type="spellStart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>Disord</w:t>
      </w:r>
      <w:proofErr w:type="spellEnd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 xml:space="preserve"> 2017; 50: 1394-1403.</w:t>
      </w:r>
    </w:p>
    <w:p w:rsidR="00003D9C" w:rsidRDefault="00003D9C" w:rsidP="00003D9C">
      <w:pPr>
        <w:spacing w:after="200"/>
        <w:contextualSpacing/>
        <w:jc w:val="both"/>
        <w:rPr>
          <w:rFonts w:ascii="Calibri" w:eastAsia="SimSun" w:hAnsi="Calibri" w:cs="Mangal"/>
          <w:kern w:val="2"/>
          <w:szCs w:val="24"/>
          <w:lang w:val="en-US" w:eastAsia="hi-IN" w:bidi="hi-IN"/>
        </w:rPr>
      </w:pPr>
    </w:p>
    <w:p w:rsidR="00383751" w:rsidRPr="00383751" w:rsidRDefault="00383751" w:rsidP="00383751">
      <w:pPr>
        <w:jc w:val="both"/>
        <w:rPr>
          <w:rFonts w:ascii="Calibri" w:hAnsi="Calibri" w:cs="Calibri"/>
          <w:szCs w:val="24"/>
          <w:lang w:val="en-US"/>
        </w:rPr>
      </w:pPr>
      <w:proofErr w:type="spellStart"/>
      <w:r w:rsidRPr="00B17895">
        <w:rPr>
          <w:rFonts w:ascii="Calibri" w:hAnsi="Calibri" w:cs="Calibri"/>
          <w:szCs w:val="24"/>
          <w:lang w:val="en-US"/>
        </w:rPr>
        <w:t>Nystoriak</w:t>
      </w:r>
      <w:proofErr w:type="spellEnd"/>
      <w:r w:rsidRPr="00B17895">
        <w:rPr>
          <w:rFonts w:ascii="Calibri" w:hAnsi="Calibri" w:cs="Calibri"/>
          <w:szCs w:val="24"/>
          <w:lang w:val="en-US"/>
        </w:rPr>
        <w:t xml:space="preserve"> MA, Bhatnagar A. Cardiovascular effects and benefits of exercise. </w:t>
      </w:r>
      <w:r w:rsidRPr="00383751">
        <w:rPr>
          <w:rFonts w:ascii="Calibri" w:hAnsi="Calibri" w:cs="Calibri"/>
          <w:szCs w:val="24"/>
          <w:lang w:val="en-US"/>
        </w:rPr>
        <w:t xml:space="preserve">Front </w:t>
      </w:r>
      <w:proofErr w:type="spellStart"/>
      <w:r w:rsidRPr="00383751">
        <w:rPr>
          <w:rFonts w:ascii="Calibri" w:hAnsi="Calibri" w:cs="Calibri"/>
          <w:szCs w:val="24"/>
          <w:lang w:val="en-US"/>
        </w:rPr>
        <w:t>Cardiovasc</w:t>
      </w:r>
      <w:proofErr w:type="spellEnd"/>
      <w:r w:rsidRPr="00383751">
        <w:rPr>
          <w:rFonts w:ascii="Calibri" w:hAnsi="Calibri" w:cs="Calibri"/>
          <w:szCs w:val="24"/>
          <w:lang w:val="en-US"/>
        </w:rPr>
        <w:t xml:space="preserve"> Med. 2018;5:135.  </w:t>
      </w:r>
    </w:p>
    <w:p w:rsidR="00383751" w:rsidRDefault="00383751" w:rsidP="00003D9C">
      <w:pPr>
        <w:spacing w:after="200"/>
        <w:contextualSpacing/>
        <w:jc w:val="both"/>
        <w:rPr>
          <w:rFonts w:ascii="Calibri" w:eastAsia="SimSun" w:hAnsi="Calibri" w:cs="Mangal"/>
          <w:kern w:val="2"/>
          <w:szCs w:val="24"/>
          <w:lang w:val="en-US" w:eastAsia="hi-IN" w:bidi="hi-IN"/>
        </w:rPr>
      </w:pPr>
    </w:p>
    <w:p w:rsidR="00003D9C" w:rsidRDefault="00003D9C" w:rsidP="00003D9C">
      <w:pPr>
        <w:spacing w:after="200"/>
        <w:contextualSpacing/>
        <w:jc w:val="both"/>
        <w:rPr>
          <w:rFonts w:ascii="Calibri" w:eastAsia="SimSun" w:hAnsi="Calibri" w:cs="Mangal"/>
          <w:kern w:val="2"/>
          <w:szCs w:val="24"/>
          <w:lang w:val="en-US" w:eastAsia="hi-IN" w:bidi="hi-IN"/>
        </w:rPr>
      </w:pPr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 xml:space="preserve">O'Donnell E, Goodman JM, Harvey PJ. Clinical review: Cardiovascular consequences of ovarian disruption: a focus on functional hypothalamic amenorrhea in physically active women. J </w:t>
      </w:r>
      <w:proofErr w:type="spellStart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>Clin</w:t>
      </w:r>
      <w:proofErr w:type="spellEnd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 xml:space="preserve"> </w:t>
      </w:r>
      <w:proofErr w:type="spellStart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>Endocrinol</w:t>
      </w:r>
      <w:proofErr w:type="spellEnd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 xml:space="preserve"> </w:t>
      </w:r>
      <w:proofErr w:type="spellStart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>Metab</w:t>
      </w:r>
      <w:proofErr w:type="spellEnd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>. 2011; 96: 3638-3648.</w:t>
      </w:r>
    </w:p>
    <w:p w:rsidR="00003D9C" w:rsidRDefault="00003D9C" w:rsidP="00003D9C">
      <w:pPr>
        <w:spacing w:after="200"/>
        <w:contextualSpacing/>
        <w:jc w:val="both"/>
        <w:rPr>
          <w:rFonts w:ascii="Calibri" w:eastAsia="SimSun" w:hAnsi="Calibri" w:cs="Mangal"/>
          <w:kern w:val="2"/>
          <w:szCs w:val="24"/>
          <w:lang w:val="en-US" w:eastAsia="hi-IN" w:bidi="hi-IN"/>
        </w:rPr>
      </w:pPr>
    </w:p>
    <w:p w:rsidR="00003D9C" w:rsidRDefault="00003D9C" w:rsidP="00003D9C">
      <w:pPr>
        <w:spacing w:after="200"/>
        <w:contextualSpacing/>
        <w:jc w:val="both"/>
        <w:rPr>
          <w:rFonts w:ascii="Calibri" w:eastAsia="SimSun" w:hAnsi="Calibri" w:cs="Mangal"/>
          <w:kern w:val="2"/>
          <w:szCs w:val="24"/>
          <w:lang w:val="en-US" w:eastAsia="hi-IN" w:bidi="hi-IN"/>
        </w:rPr>
      </w:pPr>
      <w:proofErr w:type="spellStart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>Papageorgiou</w:t>
      </w:r>
      <w:proofErr w:type="spellEnd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 xml:space="preserve"> M, Dolan E, Elliott-Sale KJ, Sale C. Reduced energy availability: implications for bone health in physically active populations. </w:t>
      </w:r>
      <w:proofErr w:type="spellStart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>Eur</w:t>
      </w:r>
      <w:proofErr w:type="spellEnd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 xml:space="preserve"> J </w:t>
      </w:r>
      <w:proofErr w:type="spellStart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>Nutr</w:t>
      </w:r>
      <w:proofErr w:type="spellEnd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 xml:space="preserve"> 2018; 57: 847-859.</w:t>
      </w:r>
    </w:p>
    <w:p w:rsidR="00003D9C" w:rsidRDefault="00003D9C" w:rsidP="00003D9C">
      <w:pPr>
        <w:spacing w:after="200"/>
        <w:contextualSpacing/>
        <w:jc w:val="both"/>
        <w:rPr>
          <w:rFonts w:ascii="Calibri" w:eastAsia="SimSun" w:hAnsi="Calibri" w:cs="Mangal"/>
          <w:kern w:val="2"/>
          <w:szCs w:val="24"/>
          <w:lang w:val="en-US" w:eastAsia="hi-IN" w:bidi="hi-IN"/>
        </w:rPr>
      </w:pPr>
    </w:p>
    <w:p w:rsidR="00003D9C" w:rsidRDefault="00003D9C" w:rsidP="00003D9C">
      <w:pPr>
        <w:spacing w:after="200"/>
        <w:contextualSpacing/>
        <w:jc w:val="both"/>
        <w:rPr>
          <w:rFonts w:ascii="Calibri" w:eastAsia="SimSun" w:hAnsi="Calibri" w:cs="Mangal"/>
          <w:kern w:val="2"/>
          <w:szCs w:val="24"/>
          <w:lang w:val="en-US" w:eastAsia="hi-IN" w:bidi="hi-IN"/>
        </w:rPr>
      </w:pPr>
      <w:proofErr w:type="spellStart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>Southmayd</w:t>
      </w:r>
      <w:proofErr w:type="spellEnd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 xml:space="preserve"> EA, De Souza MJ. A summary of the influence of exogenous estrogen administration across the lifespan on the GH/IGF-1 axis and implications for bone health. Growth Hormone &amp; IGF Res 2017; 32: 2-13.</w:t>
      </w:r>
    </w:p>
    <w:p w:rsidR="00003D9C" w:rsidRDefault="00003D9C" w:rsidP="00003D9C">
      <w:pPr>
        <w:spacing w:after="200"/>
        <w:contextualSpacing/>
        <w:rPr>
          <w:rFonts w:ascii="Calibri" w:eastAsia="SimSun" w:hAnsi="Calibri" w:cs="Mangal"/>
          <w:kern w:val="2"/>
          <w:szCs w:val="24"/>
          <w:lang w:val="en-US" w:eastAsia="hi-IN" w:bidi="hi-IN"/>
        </w:rPr>
      </w:pPr>
    </w:p>
    <w:p w:rsidR="00003D9C" w:rsidRDefault="00003D9C" w:rsidP="00003D9C">
      <w:pPr>
        <w:spacing w:after="200"/>
        <w:contextualSpacing/>
        <w:rPr>
          <w:rFonts w:ascii="Calibri" w:eastAsia="SimSun" w:hAnsi="Calibri" w:cs="Mangal"/>
          <w:kern w:val="2"/>
          <w:szCs w:val="24"/>
          <w:lang w:val="en-US" w:eastAsia="hi-IN" w:bidi="hi-IN"/>
        </w:rPr>
      </w:pPr>
      <w:proofErr w:type="spellStart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>Støving</w:t>
      </w:r>
      <w:proofErr w:type="spellEnd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 xml:space="preserve"> RK. Mechanisms in endocrinology: Anorexia nervosa and endocrinology: a clinical update. </w:t>
      </w:r>
      <w:proofErr w:type="spellStart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>Eur</w:t>
      </w:r>
      <w:proofErr w:type="spellEnd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 xml:space="preserve"> J </w:t>
      </w:r>
      <w:proofErr w:type="spellStart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>Endocrinol</w:t>
      </w:r>
      <w:proofErr w:type="spellEnd"/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 xml:space="preserve">. 2019; 180: R9-R27. </w:t>
      </w:r>
    </w:p>
    <w:p w:rsidR="00003D9C" w:rsidRDefault="00003D9C" w:rsidP="00003D9C">
      <w:pPr>
        <w:spacing w:after="200"/>
        <w:contextualSpacing/>
        <w:jc w:val="both"/>
        <w:rPr>
          <w:rFonts w:ascii="Calibri" w:eastAsia="SimSun" w:hAnsi="Calibri" w:cs="Mangal"/>
          <w:kern w:val="2"/>
          <w:szCs w:val="24"/>
          <w:lang w:val="en-US" w:eastAsia="hi-IN" w:bidi="hi-IN"/>
        </w:rPr>
      </w:pPr>
    </w:p>
    <w:p w:rsidR="00573E58" w:rsidRDefault="00573E58" w:rsidP="00003D9C">
      <w:pPr>
        <w:spacing w:after="200"/>
        <w:contextualSpacing/>
        <w:jc w:val="both"/>
        <w:rPr>
          <w:rFonts w:ascii="Calibri" w:eastAsia="SimSun" w:hAnsi="Calibri" w:cs="Mangal"/>
          <w:kern w:val="2"/>
          <w:szCs w:val="24"/>
          <w:lang w:val="en-US" w:eastAsia="hi-IN" w:bidi="hi-IN"/>
        </w:rPr>
      </w:pPr>
      <w:r w:rsidRPr="00573E58">
        <w:rPr>
          <w:rFonts w:ascii="Calibri" w:eastAsia="SimSun" w:hAnsi="Calibri" w:cs="Mangal"/>
          <w:kern w:val="2"/>
          <w:szCs w:val="24"/>
          <w:lang w:val="en-US" w:eastAsia="hi-IN" w:bidi="hi-IN"/>
        </w:rPr>
        <w:t xml:space="preserve">Weaver CM, Gordon CM, </w:t>
      </w:r>
      <w:proofErr w:type="spellStart"/>
      <w:r w:rsidRPr="00573E58">
        <w:rPr>
          <w:rFonts w:ascii="Calibri" w:eastAsia="SimSun" w:hAnsi="Calibri" w:cs="Mangal"/>
          <w:kern w:val="2"/>
          <w:szCs w:val="24"/>
          <w:lang w:val="en-US" w:eastAsia="hi-IN" w:bidi="hi-IN"/>
        </w:rPr>
        <w:t>Janz</w:t>
      </w:r>
      <w:proofErr w:type="spellEnd"/>
      <w:r w:rsidRPr="00573E58">
        <w:rPr>
          <w:rFonts w:ascii="Calibri" w:eastAsia="SimSun" w:hAnsi="Calibri" w:cs="Mangal"/>
          <w:kern w:val="2"/>
          <w:szCs w:val="24"/>
          <w:lang w:val="en-US" w:eastAsia="hi-IN" w:bidi="hi-IN"/>
        </w:rPr>
        <w:t xml:space="preserve"> KF, </w:t>
      </w:r>
      <w:proofErr w:type="spellStart"/>
      <w:r w:rsidRPr="00573E58">
        <w:rPr>
          <w:rFonts w:ascii="Calibri" w:eastAsia="SimSun" w:hAnsi="Calibri" w:cs="Mangal"/>
          <w:kern w:val="2"/>
          <w:szCs w:val="24"/>
          <w:lang w:val="en-US" w:eastAsia="hi-IN" w:bidi="hi-IN"/>
        </w:rPr>
        <w:t>Kalkwarf</w:t>
      </w:r>
      <w:proofErr w:type="spellEnd"/>
      <w:r w:rsidRPr="00573E58">
        <w:rPr>
          <w:rFonts w:ascii="Calibri" w:eastAsia="SimSun" w:hAnsi="Calibri" w:cs="Mangal"/>
          <w:kern w:val="2"/>
          <w:szCs w:val="24"/>
          <w:lang w:val="en-US" w:eastAsia="hi-IN" w:bidi="hi-IN"/>
        </w:rPr>
        <w:t xml:space="preserve"> HJ, </w:t>
      </w:r>
      <w:proofErr w:type="spellStart"/>
      <w:r w:rsidRPr="00573E58">
        <w:rPr>
          <w:rFonts w:ascii="Calibri" w:eastAsia="SimSun" w:hAnsi="Calibri" w:cs="Mangal"/>
          <w:kern w:val="2"/>
          <w:szCs w:val="24"/>
          <w:lang w:val="en-US" w:eastAsia="hi-IN" w:bidi="hi-IN"/>
        </w:rPr>
        <w:t>Lappe</w:t>
      </w:r>
      <w:proofErr w:type="spellEnd"/>
      <w:r w:rsidRPr="00573E58">
        <w:rPr>
          <w:rFonts w:ascii="Calibri" w:eastAsia="SimSun" w:hAnsi="Calibri" w:cs="Mangal"/>
          <w:kern w:val="2"/>
          <w:szCs w:val="24"/>
          <w:lang w:val="en-US" w:eastAsia="hi-IN" w:bidi="hi-IN"/>
        </w:rPr>
        <w:t xml:space="preserve"> JM, Lewis R, </w:t>
      </w:r>
      <w:proofErr w:type="spellStart"/>
      <w:r w:rsidRPr="00573E58">
        <w:rPr>
          <w:rFonts w:ascii="Calibri" w:eastAsia="SimSun" w:hAnsi="Calibri" w:cs="Mangal"/>
          <w:kern w:val="2"/>
          <w:szCs w:val="24"/>
          <w:lang w:val="en-US" w:eastAsia="hi-IN" w:bidi="hi-IN"/>
        </w:rPr>
        <w:t>O'Karma</w:t>
      </w:r>
      <w:proofErr w:type="spellEnd"/>
      <w:r w:rsidRPr="00573E58">
        <w:rPr>
          <w:rFonts w:ascii="Calibri" w:eastAsia="SimSun" w:hAnsi="Calibri" w:cs="Mangal"/>
          <w:kern w:val="2"/>
          <w:szCs w:val="24"/>
          <w:lang w:val="en-US" w:eastAsia="hi-IN" w:bidi="hi-IN"/>
        </w:rPr>
        <w:t xml:space="preserve"> M, Wallace TC, </w:t>
      </w:r>
      <w:proofErr w:type="spellStart"/>
      <w:r w:rsidRPr="00573E58">
        <w:rPr>
          <w:rFonts w:ascii="Calibri" w:eastAsia="SimSun" w:hAnsi="Calibri" w:cs="Mangal"/>
          <w:kern w:val="2"/>
          <w:szCs w:val="24"/>
          <w:lang w:val="en-US" w:eastAsia="hi-IN" w:bidi="hi-IN"/>
        </w:rPr>
        <w:t>Zemel</w:t>
      </w:r>
      <w:proofErr w:type="spellEnd"/>
      <w:r w:rsidRPr="00573E58">
        <w:rPr>
          <w:rFonts w:ascii="Calibri" w:eastAsia="SimSun" w:hAnsi="Calibri" w:cs="Mangal"/>
          <w:kern w:val="2"/>
          <w:szCs w:val="24"/>
          <w:lang w:val="en-US" w:eastAsia="hi-IN" w:bidi="hi-IN"/>
        </w:rPr>
        <w:t xml:space="preserve"> BS. The National Osteoporosis Foundation's position statement on peak bone mass development and lifestyle factors: a systematic review and implementation recommendations. </w:t>
      </w:r>
      <w:proofErr w:type="spellStart"/>
      <w:r w:rsidRPr="00573E58">
        <w:rPr>
          <w:rFonts w:ascii="Calibri" w:eastAsia="SimSun" w:hAnsi="Calibri" w:cs="Mangal"/>
          <w:kern w:val="2"/>
          <w:szCs w:val="24"/>
          <w:lang w:val="en-US" w:eastAsia="hi-IN" w:bidi="hi-IN"/>
        </w:rPr>
        <w:t>Osteoporos</w:t>
      </w:r>
      <w:proofErr w:type="spellEnd"/>
      <w:r w:rsidRPr="00573E58">
        <w:rPr>
          <w:rFonts w:ascii="Calibri" w:eastAsia="SimSun" w:hAnsi="Calibri" w:cs="Mangal"/>
          <w:kern w:val="2"/>
          <w:szCs w:val="24"/>
          <w:lang w:val="en-US" w:eastAsia="hi-IN" w:bidi="hi-IN"/>
        </w:rPr>
        <w:t xml:space="preserve"> Int. 2016; 27: 1281-1386. </w:t>
      </w:r>
    </w:p>
    <w:p w:rsidR="00573E58" w:rsidRDefault="00573E58" w:rsidP="00003D9C">
      <w:pPr>
        <w:spacing w:after="200"/>
        <w:contextualSpacing/>
        <w:jc w:val="both"/>
        <w:rPr>
          <w:rFonts w:ascii="Calibri" w:eastAsia="SimSun" w:hAnsi="Calibri" w:cs="Mangal"/>
          <w:kern w:val="2"/>
          <w:szCs w:val="24"/>
          <w:lang w:val="en-US" w:eastAsia="hi-IN" w:bidi="hi-IN"/>
        </w:rPr>
      </w:pPr>
    </w:p>
    <w:p w:rsidR="00003D9C" w:rsidRPr="00573E58" w:rsidRDefault="00003D9C" w:rsidP="00003D9C">
      <w:pPr>
        <w:spacing w:after="200"/>
        <w:contextualSpacing/>
        <w:jc w:val="both"/>
        <w:rPr>
          <w:rFonts w:ascii="Calibri" w:eastAsia="SimSun" w:hAnsi="Calibri" w:cs="Mangal"/>
          <w:kern w:val="2"/>
          <w:szCs w:val="24"/>
          <w:lang w:val="en-US" w:eastAsia="hi-IN" w:bidi="hi-IN"/>
        </w:rPr>
      </w:pPr>
      <w:r>
        <w:rPr>
          <w:rFonts w:ascii="Calibri" w:eastAsia="SimSun" w:hAnsi="Calibri" w:cs="Mangal"/>
          <w:kern w:val="2"/>
          <w:szCs w:val="24"/>
          <w:lang w:val="en-US" w:eastAsia="hi-IN" w:bidi="hi-IN"/>
        </w:rPr>
        <w:t xml:space="preserve">Weiss Kelly AK, Hecht S; Council on Sports Medicine and Fitness. </w:t>
      </w:r>
      <w:r w:rsidRPr="00573E58">
        <w:rPr>
          <w:rFonts w:ascii="Calibri" w:eastAsia="SimSun" w:hAnsi="Calibri" w:cs="Mangal"/>
          <w:kern w:val="2"/>
          <w:szCs w:val="24"/>
          <w:lang w:val="en-US" w:eastAsia="hi-IN" w:bidi="hi-IN"/>
        </w:rPr>
        <w:t>The Female Athlete Triad. Pediatrics 2016; 138: e20160922.</w:t>
      </w:r>
    </w:p>
    <w:p w:rsidR="00003D9C" w:rsidRPr="00573E58" w:rsidRDefault="00003D9C" w:rsidP="00003D9C">
      <w:pPr>
        <w:spacing w:line="276" w:lineRule="auto"/>
        <w:jc w:val="both"/>
        <w:rPr>
          <w:rFonts w:ascii="Calibri" w:eastAsia="Calibri" w:hAnsi="Calibri"/>
          <w:b/>
          <w:color w:val="C00000"/>
          <w:sz w:val="36"/>
          <w:szCs w:val="36"/>
          <w:lang w:val="en-US" w:eastAsia="en-US"/>
        </w:rPr>
      </w:pPr>
    </w:p>
    <w:p w:rsidR="005700CC" w:rsidRPr="00573E58" w:rsidRDefault="005700CC">
      <w:pPr>
        <w:rPr>
          <w:lang w:val="en-US"/>
        </w:rPr>
      </w:pPr>
    </w:p>
    <w:sectPr w:rsidR="005700CC" w:rsidRPr="00573E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D9C"/>
    <w:rsid w:val="00003D9C"/>
    <w:rsid w:val="00383751"/>
    <w:rsid w:val="0053439B"/>
    <w:rsid w:val="005700CC"/>
    <w:rsid w:val="00573E58"/>
    <w:rsid w:val="008118C8"/>
    <w:rsid w:val="00DE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3D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3439B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3D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3439B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7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i.org/10.3389/fphys.2019.0064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CAMPAGNOLI Carlo FORNACA</cp:lastModifiedBy>
  <cp:revision>6</cp:revision>
  <dcterms:created xsi:type="dcterms:W3CDTF">2020-01-24T08:10:00Z</dcterms:created>
  <dcterms:modified xsi:type="dcterms:W3CDTF">2020-01-27T08:23:00Z</dcterms:modified>
</cp:coreProperties>
</file>